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04FF3266" w:rsidR="002E7685" w:rsidRPr="00452FB3" w:rsidRDefault="00547044" w:rsidP="005A21C3">
      <w:pPr>
        <w:pStyle w:val="Heading2"/>
        <w:rPr>
          <w:lang w:val="it-IT"/>
        </w:rPr>
      </w:pPr>
      <w:bookmarkStart w:id="0" w:name="_Toc76643727"/>
      <w:r w:rsidRPr="00452FB3">
        <w:rPr>
          <w:lang w:val="it-IT"/>
        </w:rPr>
        <w:t xml:space="preserve">Scenario </w:t>
      </w:r>
      <w:r w:rsidR="009E7E01" w:rsidRPr="00452FB3">
        <w:rPr>
          <w:lang w:val="it-IT"/>
        </w:rPr>
        <w:t>C</w:t>
      </w:r>
      <w:r w:rsidR="000363FB" w:rsidRPr="00452FB3">
        <w:rPr>
          <w:lang w:val="it-IT"/>
        </w:rPr>
        <w:t>1</w:t>
      </w:r>
      <w:r w:rsidR="00753186" w:rsidRPr="00452FB3">
        <w:rPr>
          <w:lang w:val="it-IT"/>
        </w:rPr>
        <w:t>8</w:t>
      </w:r>
      <w:r w:rsidR="008F12C3" w:rsidRPr="00452FB3">
        <w:rPr>
          <w:lang w:val="it-IT"/>
        </w:rPr>
        <w:t>:</w:t>
      </w:r>
      <w:bookmarkEnd w:id="0"/>
      <w:r w:rsidR="009F5D32" w:rsidRPr="00452FB3">
        <w:rPr>
          <w:lang w:val="it-IT"/>
        </w:rPr>
        <w:t xml:space="preserve"> </w:t>
      </w:r>
      <w:r w:rsidR="009E7E01" w:rsidRPr="00452FB3">
        <w:rPr>
          <w:lang w:val="it-IT"/>
        </w:rPr>
        <w:t xml:space="preserve">Chemical </w:t>
      </w:r>
      <w:proofErr w:type="spellStart"/>
      <w:r w:rsidR="009E7E01" w:rsidRPr="00452FB3">
        <w:rPr>
          <w:lang w:val="it-IT"/>
        </w:rPr>
        <w:t>incident</w:t>
      </w:r>
      <w:proofErr w:type="spellEnd"/>
      <w:r w:rsidR="009E7E01" w:rsidRPr="00452FB3">
        <w:rPr>
          <w:lang w:val="it-IT"/>
        </w:rPr>
        <w:t xml:space="preserve"> in</w:t>
      </w:r>
      <w:r w:rsidR="00753186" w:rsidRPr="00452FB3">
        <w:rPr>
          <w:lang w:val="it-IT"/>
        </w:rPr>
        <w:t xml:space="preserve"> garage</w:t>
      </w:r>
      <w:r w:rsidR="009E7E01" w:rsidRPr="00452FB3">
        <w:rPr>
          <w:lang w:val="it-IT"/>
        </w:rPr>
        <w:t xml:space="preserve"> </w:t>
      </w:r>
    </w:p>
    <w:tbl>
      <w:tblPr>
        <w:tblW w:w="9498" w:type="dxa"/>
        <w:tblInd w:w="-5" w:type="dxa"/>
        <w:tblCellMar>
          <w:left w:w="70" w:type="dxa"/>
          <w:right w:w="70" w:type="dxa"/>
        </w:tblCellMar>
        <w:tblLook w:val="04A0" w:firstRow="1" w:lastRow="0" w:firstColumn="1" w:lastColumn="0" w:noHBand="0" w:noVBand="1"/>
      </w:tblPr>
      <w:tblGrid>
        <w:gridCol w:w="4064"/>
        <w:gridCol w:w="5434"/>
      </w:tblGrid>
      <w:tr w:rsidR="00040DE9" w:rsidRPr="00753186" w14:paraId="62D53379" w14:textId="77777777" w:rsidTr="00B54D00">
        <w:trPr>
          <w:trHeight w:val="300"/>
        </w:trPr>
        <w:tc>
          <w:tcPr>
            <w:tcW w:w="9498"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054D8526" w:rsidR="00F325EA" w:rsidRPr="00452FB3" w:rsidRDefault="009E7E01" w:rsidP="00C816EA">
            <w:pPr>
              <w:rPr>
                <w:b/>
                <w:bCs/>
                <w:color w:val="000000"/>
                <w:lang w:val="it-IT" w:eastAsia="nl-NL"/>
              </w:rPr>
            </w:pPr>
            <w:r w:rsidRPr="00452FB3">
              <w:rPr>
                <w:b/>
                <w:bCs/>
                <w:color w:val="000000"/>
                <w:sz w:val="24"/>
                <w:lang w:val="it-IT" w:eastAsia="nl-NL"/>
              </w:rPr>
              <w:t>Scenario C1</w:t>
            </w:r>
            <w:r w:rsidR="00753186" w:rsidRPr="00452FB3">
              <w:rPr>
                <w:b/>
                <w:bCs/>
                <w:color w:val="000000"/>
                <w:sz w:val="24"/>
                <w:lang w:val="it-IT" w:eastAsia="nl-NL"/>
              </w:rPr>
              <w:t>8</w:t>
            </w:r>
            <w:r w:rsidRPr="00452FB3">
              <w:rPr>
                <w:b/>
                <w:bCs/>
                <w:color w:val="000000"/>
                <w:sz w:val="24"/>
                <w:lang w:val="it-IT" w:eastAsia="nl-NL"/>
              </w:rPr>
              <w:t xml:space="preserve">: Chemical </w:t>
            </w:r>
            <w:proofErr w:type="spellStart"/>
            <w:r w:rsidRPr="00452FB3">
              <w:rPr>
                <w:b/>
                <w:bCs/>
                <w:color w:val="000000"/>
                <w:sz w:val="24"/>
                <w:lang w:val="it-IT" w:eastAsia="nl-NL"/>
              </w:rPr>
              <w:t>incident</w:t>
            </w:r>
            <w:proofErr w:type="spellEnd"/>
            <w:r w:rsidRPr="00452FB3">
              <w:rPr>
                <w:b/>
                <w:bCs/>
                <w:color w:val="000000"/>
                <w:sz w:val="24"/>
                <w:lang w:val="it-IT" w:eastAsia="nl-NL"/>
              </w:rPr>
              <w:t xml:space="preserve"> in </w:t>
            </w:r>
            <w:r w:rsidR="00753186" w:rsidRPr="00452FB3">
              <w:rPr>
                <w:b/>
                <w:bCs/>
                <w:color w:val="000000"/>
                <w:sz w:val="24"/>
                <w:lang w:val="it-IT" w:eastAsia="nl-NL"/>
              </w:rPr>
              <w:t xml:space="preserve">garage </w:t>
            </w:r>
          </w:p>
        </w:tc>
      </w:tr>
      <w:tr w:rsidR="00040DE9" w:rsidRPr="00846F4A" w14:paraId="1DB48706" w14:textId="77777777" w:rsidTr="00B54D00">
        <w:trPr>
          <w:trHeight w:val="300"/>
        </w:trPr>
        <w:tc>
          <w:tcPr>
            <w:tcW w:w="9498"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34FE9A87"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9E7E01">
              <w:rPr>
                <w:b/>
                <w:bCs/>
                <w:color w:val="000000"/>
                <w:sz w:val="24"/>
                <w:lang w:val="en-GB" w:eastAsia="nl-NL"/>
              </w:rPr>
              <w:t xml:space="preserve">moderate </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040DE9" w:rsidRPr="00846F4A" w14:paraId="1F603D35" w14:textId="77777777" w:rsidTr="00B54D00">
        <w:trPr>
          <w:trHeight w:val="300"/>
        </w:trPr>
        <w:tc>
          <w:tcPr>
            <w:tcW w:w="9498"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2DCE6E51"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3E7D23">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w:t>
            </w:r>
            <w:r w:rsidR="003E7D23">
              <w:rPr>
                <w:b/>
                <w:bCs/>
                <w:color w:val="000000"/>
                <w:sz w:val="24"/>
                <w:lang w:val="en-GB" w:eastAsia="nl-NL"/>
              </w:rPr>
              <w:t xml:space="preserve">5.6 </w:t>
            </w:r>
            <w:r w:rsidRPr="00F77EF1">
              <w:rPr>
                <w:b/>
                <w:bCs/>
                <w:color w:val="000000"/>
                <w:sz w:val="24"/>
                <w:lang w:val="en-GB" w:eastAsia="nl-NL"/>
              </w:rPr>
              <w:t xml:space="preserve">and </w:t>
            </w:r>
            <w:r w:rsidR="007E145D">
              <w:rPr>
                <w:b/>
                <w:bCs/>
                <w:color w:val="000000"/>
                <w:sz w:val="24"/>
                <w:lang w:val="en-GB" w:eastAsia="nl-NL"/>
              </w:rPr>
              <w:t>6</w:t>
            </w:r>
            <w:r w:rsidRPr="00F77EF1">
              <w:rPr>
                <w:b/>
                <w:bCs/>
                <w:color w:val="000000"/>
                <w:sz w:val="24"/>
                <w:lang w:val="en-GB" w:eastAsia="nl-NL"/>
              </w:rPr>
              <w:t xml:space="preserve">.1 </w:t>
            </w:r>
          </w:p>
        </w:tc>
      </w:tr>
      <w:tr w:rsidR="00040DE9" w:rsidRPr="00F77EF1" w14:paraId="47AE4D45" w14:textId="77777777" w:rsidTr="00B54D00">
        <w:trPr>
          <w:trHeight w:val="300"/>
        </w:trPr>
        <w:tc>
          <w:tcPr>
            <w:tcW w:w="9498"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040DE9" w:rsidRPr="00846F4A" w14:paraId="407BE5F5" w14:textId="77777777" w:rsidTr="00B54D00">
        <w:trPr>
          <w:trHeight w:val="300"/>
        </w:trPr>
        <w:tc>
          <w:tcPr>
            <w:tcW w:w="9498" w:type="dxa"/>
            <w:gridSpan w:val="2"/>
            <w:tcBorders>
              <w:top w:val="single" w:sz="4" w:space="0" w:color="auto"/>
              <w:left w:val="single" w:sz="4" w:space="0" w:color="auto"/>
              <w:bottom w:val="single" w:sz="4" w:space="0" w:color="auto"/>
              <w:right w:val="single" w:sz="4" w:space="0" w:color="auto"/>
            </w:tcBorders>
            <w:shd w:val="clear" w:color="auto" w:fill="auto"/>
            <w:noWrap/>
          </w:tcPr>
          <w:p w14:paraId="154401D2" w14:textId="3EED5556" w:rsidR="00753186" w:rsidRPr="00D21BCC" w:rsidRDefault="00753186" w:rsidP="00753186">
            <w:pPr>
              <w:pStyle w:val="Default"/>
              <w:rPr>
                <w:rFonts w:ascii="Calibri" w:hAnsi="Calibri" w:cs="Calibri"/>
                <w:sz w:val="22"/>
                <w:szCs w:val="22"/>
              </w:rPr>
            </w:pPr>
            <w:r w:rsidRPr="00D21BCC">
              <w:rPr>
                <w:rFonts w:ascii="Calibri" w:hAnsi="Calibri" w:cs="Calibri"/>
                <w:sz w:val="22"/>
                <w:szCs w:val="22"/>
              </w:rPr>
              <w:t xml:space="preserve">A group of home-grown terrorists </w:t>
            </w:r>
            <w:r w:rsidR="006746C9">
              <w:rPr>
                <w:rFonts w:ascii="Calibri" w:hAnsi="Calibri" w:cs="Calibri"/>
                <w:sz w:val="22"/>
                <w:szCs w:val="22"/>
              </w:rPr>
              <w:t>are</w:t>
            </w:r>
            <w:r w:rsidRPr="00D21BCC">
              <w:rPr>
                <w:rFonts w:ascii="Calibri" w:hAnsi="Calibri" w:cs="Calibri"/>
                <w:sz w:val="22"/>
                <w:szCs w:val="22"/>
              </w:rPr>
              <w:t xml:space="preserve"> experimenting with the production of chemical weapons in a small garage in a</w:t>
            </w:r>
            <w:r w:rsidR="0052723F">
              <w:rPr>
                <w:rFonts w:ascii="Calibri" w:hAnsi="Calibri" w:cs="Calibri"/>
                <w:sz w:val="22"/>
                <w:szCs w:val="22"/>
              </w:rPr>
              <w:t>n</w:t>
            </w:r>
            <w:r w:rsidRPr="00D21BCC">
              <w:rPr>
                <w:rFonts w:ascii="Calibri" w:hAnsi="Calibri" w:cs="Calibri"/>
                <w:sz w:val="22"/>
                <w:szCs w:val="22"/>
              </w:rPr>
              <w:t xml:space="preserve"> urban neighbourhood of a small town. During one of the experiments something went wrong, and a small explosion occurs. The two persons in the garage are exposed to hydrogen cyanide. The first collapses directly and remains unconscious in the garage, the second manages to escape from the garage and collapses on the street. Bystanders try to assist the </w:t>
            </w:r>
            <w:r w:rsidR="00523671" w:rsidRPr="00D21BCC">
              <w:rPr>
                <w:rFonts w:ascii="Calibri" w:hAnsi="Calibri" w:cs="Calibri"/>
                <w:sz w:val="22"/>
                <w:szCs w:val="22"/>
              </w:rPr>
              <w:t>person,</w:t>
            </w:r>
            <w:r w:rsidRPr="00D21BCC">
              <w:rPr>
                <w:rFonts w:ascii="Calibri" w:hAnsi="Calibri" w:cs="Calibri"/>
                <w:sz w:val="22"/>
                <w:szCs w:val="22"/>
              </w:rPr>
              <w:t xml:space="preserve"> but a bad odour</w:t>
            </w:r>
            <w:r>
              <w:rPr>
                <w:rFonts w:ascii="Calibri" w:hAnsi="Calibri" w:cs="Calibri"/>
                <w:sz w:val="22"/>
                <w:szCs w:val="22"/>
              </w:rPr>
              <w:t xml:space="preserve"> (bitter almonds)</w:t>
            </w:r>
            <w:r w:rsidRPr="00D21BCC">
              <w:rPr>
                <w:rFonts w:ascii="Calibri" w:hAnsi="Calibri" w:cs="Calibri"/>
                <w:sz w:val="22"/>
                <w:szCs w:val="22"/>
              </w:rPr>
              <w:t xml:space="preserve"> prevents moving in to</w:t>
            </w:r>
            <w:r w:rsidR="0052723F">
              <w:rPr>
                <w:rFonts w:ascii="Calibri" w:hAnsi="Calibri" w:cs="Calibri"/>
                <w:sz w:val="22"/>
                <w:szCs w:val="22"/>
              </w:rPr>
              <w:t>o</w:t>
            </w:r>
            <w:r w:rsidRPr="00D21BCC">
              <w:rPr>
                <w:rFonts w:ascii="Calibri" w:hAnsi="Calibri" w:cs="Calibri"/>
                <w:sz w:val="22"/>
                <w:szCs w:val="22"/>
              </w:rPr>
              <w:t xml:space="preserve"> close. They decide to </w:t>
            </w:r>
            <w:r w:rsidR="0052723F">
              <w:rPr>
                <w:rFonts w:ascii="Calibri" w:hAnsi="Calibri" w:cs="Calibri"/>
                <w:sz w:val="22"/>
                <w:szCs w:val="22"/>
              </w:rPr>
              <w:t xml:space="preserve">make an emergency call for an </w:t>
            </w:r>
            <w:r w:rsidRPr="00D21BCC">
              <w:rPr>
                <w:rFonts w:ascii="Calibri" w:hAnsi="Calibri" w:cs="Calibri"/>
                <w:sz w:val="22"/>
                <w:szCs w:val="22"/>
              </w:rPr>
              <w:t xml:space="preserve">ambulance and </w:t>
            </w:r>
            <w:r w:rsidR="0052723F">
              <w:rPr>
                <w:rFonts w:ascii="Calibri" w:hAnsi="Calibri" w:cs="Calibri"/>
                <w:sz w:val="22"/>
                <w:szCs w:val="22"/>
              </w:rPr>
              <w:t xml:space="preserve">the police are </w:t>
            </w:r>
            <w:r w:rsidR="004A2B9B">
              <w:rPr>
                <w:rFonts w:ascii="Calibri" w:hAnsi="Calibri" w:cs="Calibri"/>
                <w:sz w:val="22"/>
                <w:szCs w:val="22"/>
              </w:rPr>
              <w:t>then</w:t>
            </w:r>
            <w:r w:rsidR="0052723F">
              <w:rPr>
                <w:rFonts w:ascii="Calibri" w:hAnsi="Calibri" w:cs="Calibri"/>
                <w:sz w:val="22"/>
                <w:szCs w:val="22"/>
              </w:rPr>
              <w:t xml:space="preserve"> ale</w:t>
            </w:r>
            <w:r w:rsidR="004A2B9B">
              <w:rPr>
                <w:rFonts w:ascii="Calibri" w:hAnsi="Calibri" w:cs="Calibri"/>
                <w:sz w:val="22"/>
                <w:szCs w:val="22"/>
              </w:rPr>
              <w:t xml:space="preserve">rted because the person might be seriously </w:t>
            </w:r>
            <w:r w:rsidR="00846F4A">
              <w:rPr>
                <w:rFonts w:ascii="Calibri" w:hAnsi="Calibri" w:cs="Calibri"/>
                <w:sz w:val="22"/>
                <w:szCs w:val="22"/>
              </w:rPr>
              <w:t>unwell,</w:t>
            </w:r>
            <w:r w:rsidR="004A2B9B">
              <w:rPr>
                <w:rFonts w:ascii="Calibri" w:hAnsi="Calibri" w:cs="Calibri"/>
                <w:sz w:val="22"/>
                <w:szCs w:val="22"/>
              </w:rPr>
              <w:t xml:space="preserve"> and </w:t>
            </w:r>
            <w:r w:rsidRPr="00D21BCC">
              <w:rPr>
                <w:rFonts w:ascii="Calibri" w:hAnsi="Calibri" w:cs="Calibri"/>
                <w:sz w:val="22"/>
                <w:szCs w:val="22"/>
              </w:rPr>
              <w:t xml:space="preserve">resuscitation </w:t>
            </w:r>
            <w:r w:rsidR="004A2B9B">
              <w:rPr>
                <w:rFonts w:ascii="Calibri" w:hAnsi="Calibri" w:cs="Calibri"/>
                <w:sz w:val="22"/>
                <w:szCs w:val="22"/>
              </w:rPr>
              <w:t>could be necessary</w:t>
            </w:r>
            <w:r w:rsidRPr="00D21BCC">
              <w:rPr>
                <w:rFonts w:ascii="Calibri" w:hAnsi="Calibri" w:cs="Calibri"/>
                <w:sz w:val="22"/>
                <w:szCs w:val="22"/>
              </w:rPr>
              <w:t>.</w:t>
            </w:r>
          </w:p>
          <w:p w14:paraId="6D06A190" w14:textId="3CD8FDA3" w:rsidR="00753186" w:rsidRDefault="00753186" w:rsidP="00753186">
            <w:pPr>
              <w:pStyle w:val="Default"/>
              <w:rPr>
                <w:rFonts w:ascii="Calibri" w:hAnsi="Calibri" w:cs="Calibri"/>
                <w:sz w:val="22"/>
                <w:szCs w:val="22"/>
              </w:rPr>
            </w:pPr>
            <w:r w:rsidRPr="00D21BCC">
              <w:rPr>
                <w:rFonts w:ascii="Calibri" w:hAnsi="Calibri" w:cs="Calibri"/>
                <w:sz w:val="22"/>
                <w:szCs w:val="22"/>
              </w:rPr>
              <w:t>Meanwhile residents from neighbouring flats are calling emergency services complaining of a bad smell. The fire department is called to what seems to be a regular odour nuisance</w:t>
            </w:r>
            <w:r>
              <w:rPr>
                <w:rFonts w:ascii="Calibri" w:hAnsi="Calibri" w:cs="Calibri"/>
                <w:sz w:val="22"/>
                <w:szCs w:val="22"/>
              </w:rPr>
              <w:t>. The vapour causing the odour nuisance is coming from the garage as a result of the failed experiment</w:t>
            </w:r>
            <w:r w:rsidR="006746C9">
              <w:rPr>
                <w:rFonts w:ascii="Calibri" w:hAnsi="Calibri" w:cs="Calibri"/>
                <w:sz w:val="22"/>
                <w:szCs w:val="22"/>
              </w:rPr>
              <w:t>.</w:t>
            </w:r>
          </w:p>
          <w:p w14:paraId="32710E12" w14:textId="77777777" w:rsidR="00753186" w:rsidRDefault="00753186" w:rsidP="00753186">
            <w:pPr>
              <w:pStyle w:val="Default"/>
              <w:rPr>
                <w:rFonts w:ascii="Calibri" w:hAnsi="Calibri" w:cs="Calibri"/>
                <w:sz w:val="22"/>
                <w:szCs w:val="22"/>
              </w:rPr>
            </w:pPr>
          </w:p>
          <w:p w14:paraId="36358CA6" w14:textId="35B422DF" w:rsidR="00753186" w:rsidRDefault="00753186" w:rsidP="00753186">
            <w:pPr>
              <w:pStyle w:val="Default"/>
              <w:rPr>
                <w:rFonts w:ascii="Calibri" w:hAnsi="Calibri" w:cs="Calibri"/>
                <w:sz w:val="22"/>
                <w:szCs w:val="22"/>
              </w:rPr>
            </w:pPr>
            <w:r>
              <w:rPr>
                <w:rFonts w:ascii="Calibri" w:hAnsi="Calibri" w:cs="Calibri"/>
                <w:sz w:val="22"/>
                <w:szCs w:val="22"/>
              </w:rPr>
              <w:t>Symptoms of the victim</w:t>
            </w:r>
            <w:r w:rsidR="00D36CB8">
              <w:rPr>
                <w:rFonts w:ascii="Calibri" w:hAnsi="Calibri" w:cs="Calibri"/>
                <w:sz w:val="22"/>
                <w:szCs w:val="22"/>
              </w:rPr>
              <w:t>s</w:t>
            </w:r>
            <w:r>
              <w:rPr>
                <w:rFonts w:ascii="Calibri" w:hAnsi="Calibri" w:cs="Calibri"/>
                <w:sz w:val="22"/>
                <w:szCs w:val="22"/>
              </w:rPr>
              <w:t xml:space="preserve"> are:</w:t>
            </w:r>
          </w:p>
          <w:p w14:paraId="3F619A6A" w14:textId="3EF55AD1" w:rsidR="00753186" w:rsidRDefault="00753186" w:rsidP="00753186">
            <w:pPr>
              <w:pStyle w:val="Default"/>
              <w:rPr>
                <w:rFonts w:ascii="Calibri" w:hAnsi="Calibri" w:cs="Calibri"/>
                <w:sz w:val="22"/>
                <w:szCs w:val="22"/>
              </w:rPr>
            </w:pPr>
            <w:r>
              <w:rPr>
                <w:rFonts w:ascii="Calibri" w:hAnsi="Calibri" w:cs="Calibri"/>
                <w:sz w:val="22"/>
                <w:szCs w:val="22"/>
              </w:rPr>
              <w:t>Victim 1 outside</w:t>
            </w:r>
            <w:r w:rsidR="00E31939">
              <w:rPr>
                <w:rFonts w:ascii="Calibri" w:hAnsi="Calibri" w:cs="Calibri"/>
                <w:sz w:val="22"/>
                <w:szCs w:val="22"/>
              </w:rPr>
              <w:t xml:space="preserve"> the garage</w:t>
            </w:r>
            <w:r>
              <w:rPr>
                <w:rFonts w:ascii="Calibri" w:hAnsi="Calibri" w:cs="Calibri"/>
                <w:sz w:val="22"/>
                <w:szCs w:val="22"/>
              </w:rPr>
              <w:t>: victim is unconscious and shows rapid breathing</w:t>
            </w:r>
            <w:r w:rsidR="00846F4A">
              <w:rPr>
                <w:rFonts w:ascii="Calibri" w:hAnsi="Calibri" w:cs="Calibri"/>
                <w:sz w:val="22"/>
                <w:szCs w:val="22"/>
              </w:rPr>
              <w:t xml:space="preserve"> (</w:t>
            </w:r>
            <w:proofErr w:type="spellStart"/>
            <w:r w:rsidR="00846F4A">
              <w:rPr>
                <w:rFonts w:ascii="Calibri" w:hAnsi="Calibri" w:cs="Calibri"/>
                <w:sz w:val="22"/>
                <w:szCs w:val="22"/>
              </w:rPr>
              <w:t>Tachypnea</w:t>
            </w:r>
            <w:proofErr w:type="spellEnd"/>
            <w:r w:rsidR="00846F4A">
              <w:rPr>
                <w:rFonts w:ascii="Calibri" w:hAnsi="Calibri" w:cs="Calibri"/>
                <w:sz w:val="22"/>
                <w:szCs w:val="22"/>
              </w:rPr>
              <w:t>), shortness of breath</w:t>
            </w:r>
            <w:r>
              <w:rPr>
                <w:rFonts w:ascii="Calibri" w:hAnsi="Calibri" w:cs="Calibri"/>
                <w:sz w:val="22"/>
                <w:szCs w:val="22"/>
              </w:rPr>
              <w:t xml:space="preserve"> (</w:t>
            </w:r>
            <w:proofErr w:type="spellStart"/>
            <w:r w:rsidRPr="00E317C7">
              <w:rPr>
                <w:rFonts w:ascii="Calibri" w:hAnsi="Calibri" w:cs="Calibri"/>
                <w:sz w:val="22"/>
                <w:szCs w:val="22"/>
              </w:rPr>
              <w:t>dyspnea</w:t>
            </w:r>
            <w:proofErr w:type="spellEnd"/>
            <w:r>
              <w:rPr>
                <w:rFonts w:ascii="Calibri" w:hAnsi="Calibri" w:cs="Calibri"/>
                <w:sz w:val="22"/>
                <w:szCs w:val="22"/>
              </w:rPr>
              <w:t>)</w:t>
            </w:r>
            <w:r w:rsidR="004A2B9B">
              <w:rPr>
                <w:rFonts w:ascii="Calibri" w:hAnsi="Calibri" w:cs="Calibri"/>
                <w:sz w:val="22"/>
                <w:szCs w:val="22"/>
              </w:rPr>
              <w:t xml:space="preserve"> </w:t>
            </w:r>
            <w:r>
              <w:rPr>
                <w:rFonts w:ascii="Calibri" w:hAnsi="Calibri" w:cs="Calibri"/>
                <w:sz w:val="22"/>
                <w:szCs w:val="22"/>
              </w:rPr>
              <w:t>and muscle spasms (in which neck and spine are arched backwards</w:t>
            </w:r>
            <w:r w:rsidR="004A2B9B">
              <w:rPr>
                <w:rFonts w:ascii="Calibri" w:hAnsi="Calibri" w:cs="Calibri"/>
                <w:sz w:val="22"/>
                <w:szCs w:val="22"/>
              </w:rPr>
              <w:t>)</w:t>
            </w:r>
            <w:r>
              <w:rPr>
                <w:rFonts w:ascii="Calibri" w:hAnsi="Calibri" w:cs="Calibri"/>
                <w:sz w:val="22"/>
                <w:szCs w:val="22"/>
              </w:rPr>
              <w:t>. His skin is cold and clammy</w:t>
            </w:r>
            <w:r w:rsidR="006746C9">
              <w:rPr>
                <w:rFonts w:ascii="Calibri" w:hAnsi="Calibri" w:cs="Calibri"/>
                <w:sz w:val="22"/>
                <w:szCs w:val="22"/>
              </w:rPr>
              <w:t>.</w:t>
            </w:r>
            <w:r>
              <w:rPr>
                <w:rFonts w:ascii="Calibri" w:hAnsi="Calibri" w:cs="Calibri"/>
                <w:sz w:val="22"/>
                <w:szCs w:val="22"/>
              </w:rPr>
              <w:t xml:space="preserve"> There is vomit present on his clothing and face.</w:t>
            </w:r>
          </w:p>
          <w:p w14:paraId="1E6DB3BE" w14:textId="6B872317" w:rsidR="00753186" w:rsidRDefault="00753186" w:rsidP="00753186">
            <w:pPr>
              <w:pStyle w:val="Default"/>
              <w:rPr>
                <w:rFonts w:ascii="Calibri" w:hAnsi="Calibri" w:cs="Calibri"/>
                <w:sz w:val="22"/>
                <w:szCs w:val="22"/>
              </w:rPr>
            </w:pPr>
            <w:r>
              <w:rPr>
                <w:rFonts w:ascii="Calibri" w:hAnsi="Calibri" w:cs="Calibri"/>
                <w:sz w:val="22"/>
                <w:szCs w:val="22"/>
              </w:rPr>
              <w:t xml:space="preserve">Victim 2 inside the garage: victim is unconscious, has seizures, a disordered heart rhythm, dilated </w:t>
            </w:r>
            <w:proofErr w:type="gramStart"/>
            <w:r>
              <w:rPr>
                <w:rFonts w:ascii="Calibri" w:hAnsi="Calibri" w:cs="Calibri"/>
                <w:sz w:val="22"/>
                <w:szCs w:val="22"/>
              </w:rPr>
              <w:t>pupils</w:t>
            </w:r>
            <w:proofErr w:type="gramEnd"/>
            <w:r>
              <w:rPr>
                <w:rFonts w:ascii="Calibri" w:hAnsi="Calibri" w:cs="Calibri"/>
                <w:sz w:val="22"/>
                <w:szCs w:val="22"/>
              </w:rPr>
              <w:t xml:space="preserve"> and a very slow respiration</w:t>
            </w:r>
            <w:r w:rsidR="00E31939">
              <w:rPr>
                <w:rFonts w:ascii="Calibri" w:hAnsi="Calibri" w:cs="Calibri"/>
                <w:sz w:val="22"/>
                <w:szCs w:val="22"/>
              </w:rPr>
              <w:t>.</w:t>
            </w:r>
            <w:r>
              <w:rPr>
                <w:rFonts w:ascii="Calibri" w:hAnsi="Calibri" w:cs="Calibri"/>
                <w:sz w:val="22"/>
                <w:szCs w:val="22"/>
              </w:rPr>
              <w:t xml:space="preserve"> </w:t>
            </w:r>
          </w:p>
          <w:p w14:paraId="719554B1" w14:textId="77777777" w:rsidR="00753186" w:rsidRDefault="00753186" w:rsidP="00753186">
            <w:pPr>
              <w:pStyle w:val="Default"/>
              <w:rPr>
                <w:rFonts w:ascii="Calibri" w:hAnsi="Calibri" w:cs="Calibri"/>
                <w:sz w:val="22"/>
                <w:szCs w:val="22"/>
              </w:rPr>
            </w:pPr>
          </w:p>
          <w:p w14:paraId="08DEEDE2" w14:textId="2C500EDC" w:rsidR="00753186" w:rsidRDefault="00753186" w:rsidP="00753186">
            <w:pPr>
              <w:pStyle w:val="Default"/>
              <w:rPr>
                <w:rFonts w:ascii="Calibri" w:hAnsi="Calibri" w:cs="Calibri"/>
                <w:sz w:val="22"/>
                <w:szCs w:val="22"/>
              </w:rPr>
            </w:pPr>
            <w:r>
              <w:rPr>
                <w:rFonts w:ascii="Calibri" w:hAnsi="Calibri" w:cs="Calibri"/>
                <w:sz w:val="22"/>
                <w:szCs w:val="22"/>
              </w:rPr>
              <w:t xml:space="preserve">Inside the garage different laboratory equipment is present and some of the equipment is still running causing a </w:t>
            </w:r>
            <w:r w:rsidR="00FD6D93">
              <w:rPr>
                <w:rFonts w:ascii="Calibri" w:hAnsi="Calibri" w:cs="Calibri"/>
                <w:sz w:val="22"/>
                <w:szCs w:val="22"/>
              </w:rPr>
              <w:t>smouldering</w:t>
            </w:r>
            <w:r>
              <w:rPr>
                <w:rFonts w:ascii="Calibri" w:hAnsi="Calibri" w:cs="Calibri"/>
                <w:sz w:val="22"/>
                <w:szCs w:val="22"/>
              </w:rPr>
              <w:t xml:space="preserve"> fire inside the garage. Production manuals </w:t>
            </w:r>
            <w:proofErr w:type="gramStart"/>
            <w:r>
              <w:rPr>
                <w:rFonts w:ascii="Calibri" w:hAnsi="Calibri" w:cs="Calibri"/>
                <w:sz w:val="22"/>
                <w:szCs w:val="22"/>
              </w:rPr>
              <w:t>for the production of</w:t>
            </w:r>
            <w:proofErr w:type="gramEnd"/>
            <w:r>
              <w:rPr>
                <w:rFonts w:ascii="Calibri" w:hAnsi="Calibri" w:cs="Calibri"/>
                <w:sz w:val="22"/>
                <w:szCs w:val="22"/>
              </w:rPr>
              <w:t xml:space="preserve"> hydrogen cyanide are present in the garage. Both victims carry a mobile phone.</w:t>
            </w:r>
          </w:p>
          <w:p w14:paraId="73497A55" w14:textId="64E6FE98" w:rsidR="00FD6D93" w:rsidRDefault="00FD6D93" w:rsidP="00753186">
            <w:pPr>
              <w:pStyle w:val="Default"/>
              <w:rPr>
                <w:rFonts w:ascii="Calibri" w:hAnsi="Calibri" w:cs="Calibri"/>
                <w:sz w:val="22"/>
                <w:szCs w:val="22"/>
              </w:rPr>
            </w:pPr>
          </w:p>
          <w:p w14:paraId="0CC206D5" w14:textId="647A130E" w:rsidR="00FD6D93" w:rsidRDefault="00FD6D93" w:rsidP="00753186">
            <w:pPr>
              <w:pStyle w:val="Default"/>
              <w:rPr>
                <w:rFonts w:ascii="Calibri" w:hAnsi="Calibri" w:cs="Calibri"/>
                <w:sz w:val="22"/>
                <w:szCs w:val="22"/>
              </w:rPr>
            </w:pPr>
            <w:r w:rsidRPr="00497D3D">
              <w:rPr>
                <w:rFonts w:ascii="Calibri" w:hAnsi="Calibri" w:cs="Calibri"/>
                <w:b/>
                <w:bCs/>
                <w:sz w:val="22"/>
                <w:szCs w:val="22"/>
              </w:rPr>
              <w:t>Things to consider:</w:t>
            </w:r>
            <w:r>
              <w:rPr>
                <w:rFonts w:ascii="Calibri" w:hAnsi="Calibri" w:cs="Calibri"/>
                <w:sz w:val="22"/>
                <w:szCs w:val="22"/>
              </w:rPr>
              <w:t xml:space="preserve"> In this scenario there are some serious risks for the first responders and the residents of the neighbouring buildings. It is essential to prevent further escalation of the incident and quick decision making is essential to sa</w:t>
            </w:r>
            <w:r w:rsidR="0004304C">
              <w:rPr>
                <w:rFonts w:ascii="Calibri" w:hAnsi="Calibri" w:cs="Calibri"/>
                <w:sz w:val="22"/>
                <w:szCs w:val="22"/>
              </w:rPr>
              <w:t>v</w:t>
            </w:r>
            <w:r>
              <w:rPr>
                <w:rFonts w:ascii="Calibri" w:hAnsi="Calibri" w:cs="Calibri"/>
                <w:sz w:val="22"/>
                <w:szCs w:val="22"/>
              </w:rPr>
              <w:t>e the person inside the garage and contain the spread of the smouldering fire. Evacuation of the downwind flat should be considered. Exposure risk to ambulance personnel and responders performing the evacuation is present and decontamination of the victim should be performed prior to medical treatment</w:t>
            </w:r>
            <w:r w:rsidR="0004304C">
              <w:rPr>
                <w:rFonts w:ascii="Calibri" w:hAnsi="Calibri" w:cs="Calibri"/>
                <w:sz w:val="22"/>
                <w:szCs w:val="22"/>
              </w:rPr>
              <w:t xml:space="preserve">. </w:t>
            </w:r>
            <w:r w:rsidR="00846F4A">
              <w:rPr>
                <w:rFonts w:ascii="Calibri" w:hAnsi="Calibri" w:cs="Calibri"/>
                <w:sz w:val="22"/>
                <w:szCs w:val="22"/>
              </w:rPr>
              <w:t xml:space="preserve">Removal of the clothing of the victims should reduce the risks of secondary exposure significantly. Additionally, given the high volatility of hydrogen cyanide it is not expected that the risk of secondary exposure will remain present for a long time. </w:t>
            </w:r>
            <w:r w:rsidR="0004304C">
              <w:rPr>
                <w:rFonts w:ascii="Calibri" w:hAnsi="Calibri" w:cs="Calibri"/>
                <w:sz w:val="22"/>
                <w:szCs w:val="22"/>
              </w:rPr>
              <w:t>E</w:t>
            </w:r>
            <w:r>
              <w:rPr>
                <w:rFonts w:ascii="Calibri" w:hAnsi="Calibri" w:cs="Calibri"/>
                <w:sz w:val="22"/>
                <w:szCs w:val="22"/>
              </w:rPr>
              <w:t xml:space="preserve">vacuation </w:t>
            </w:r>
            <w:r w:rsidR="0004304C">
              <w:rPr>
                <w:rFonts w:ascii="Calibri" w:hAnsi="Calibri" w:cs="Calibri"/>
                <w:sz w:val="22"/>
                <w:szCs w:val="22"/>
              </w:rPr>
              <w:t xml:space="preserve">should </w:t>
            </w:r>
            <w:r>
              <w:rPr>
                <w:rFonts w:ascii="Calibri" w:hAnsi="Calibri" w:cs="Calibri"/>
                <w:sz w:val="22"/>
                <w:szCs w:val="22"/>
              </w:rPr>
              <w:t>be performed by personnel wearing respiratory protection.</w:t>
            </w:r>
            <w:r w:rsidR="00846F4A">
              <w:rPr>
                <w:rFonts w:ascii="Calibri" w:hAnsi="Calibri" w:cs="Calibri"/>
                <w:sz w:val="22"/>
                <w:szCs w:val="22"/>
              </w:rPr>
              <w:t xml:space="preserve"> </w:t>
            </w:r>
            <w:r>
              <w:rPr>
                <w:rFonts w:ascii="Calibri" w:hAnsi="Calibri" w:cs="Calibri"/>
                <w:sz w:val="22"/>
                <w:szCs w:val="22"/>
              </w:rPr>
              <w:t xml:space="preserve">A thorough forensic investigation is expected to take place. Identity of the perpetrators and recent contacts in the mobile phones is of great interest. Manuals and production equipment will be considered evidence and loss due to the fire or extinguishing activities should be prevented. </w:t>
            </w:r>
          </w:p>
          <w:p w14:paraId="52F939C9" w14:textId="3E2AC310" w:rsidR="00497D3D" w:rsidRDefault="00497D3D" w:rsidP="00753186">
            <w:pPr>
              <w:pStyle w:val="Default"/>
              <w:rPr>
                <w:rFonts w:ascii="Calibri" w:hAnsi="Calibri" w:cs="Calibri"/>
                <w:sz w:val="22"/>
                <w:szCs w:val="22"/>
              </w:rPr>
            </w:pPr>
          </w:p>
          <w:p w14:paraId="436B7DB1" w14:textId="31D12D49" w:rsidR="00497D3D" w:rsidRPr="00497D3D" w:rsidRDefault="00497D3D" w:rsidP="00497D3D">
            <w:pPr>
              <w:pStyle w:val="Default"/>
              <w:rPr>
                <w:rFonts w:ascii="Calibri" w:hAnsi="Calibri" w:cs="Calibri"/>
                <w:sz w:val="22"/>
                <w:szCs w:val="22"/>
              </w:rPr>
            </w:pPr>
            <w:r w:rsidRPr="00497D3D">
              <w:rPr>
                <w:rFonts w:ascii="Calibri" w:hAnsi="Calibri" w:cs="Calibri"/>
                <w:sz w:val="22"/>
                <w:szCs w:val="22"/>
              </w:rPr>
              <w:t xml:space="preserve">The trainer could consider adapting the scenario in such a way that the victims are self-referring to the GP office or EMS to allow trainees from these target audiences to perform a risk assessment.  </w:t>
            </w:r>
          </w:p>
          <w:p w14:paraId="098A1E00" w14:textId="77777777" w:rsidR="00497D3D" w:rsidRPr="00497D3D" w:rsidRDefault="00497D3D" w:rsidP="00753186">
            <w:pPr>
              <w:pStyle w:val="Default"/>
              <w:rPr>
                <w:rFonts w:ascii="Calibri" w:hAnsi="Calibri" w:cs="Calibri"/>
                <w:sz w:val="22"/>
                <w:szCs w:val="22"/>
                <w:lang w:val="en-US"/>
              </w:rPr>
            </w:pPr>
          </w:p>
          <w:p w14:paraId="68272323" w14:textId="5AB40A75" w:rsidR="009E7E01" w:rsidRPr="00F77EF1" w:rsidRDefault="009E7E01" w:rsidP="009E7E01">
            <w:pPr>
              <w:rPr>
                <w:color w:val="000000"/>
                <w:lang w:val="en-GB" w:eastAsia="nl-NL"/>
              </w:rPr>
            </w:pPr>
          </w:p>
        </w:tc>
      </w:tr>
      <w:tr w:rsidR="00040DE9" w:rsidRPr="00F51E91" w14:paraId="248AD648" w14:textId="77777777" w:rsidTr="00B54D00">
        <w:trPr>
          <w:trHeight w:val="300"/>
        </w:trPr>
        <w:tc>
          <w:tcPr>
            <w:tcW w:w="4064"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9E7E01" w:rsidRDefault="009E7E01" w:rsidP="009E7E01">
            <w:pPr>
              <w:rPr>
                <w:b/>
                <w:bCs/>
                <w:lang w:val="en-GB"/>
              </w:rPr>
            </w:pPr>
            <w:r w:rsidRPr="00F77EF1">
              <w:rPr>
                <w:b/>
                <w:bCs/>
                <w:lang w:val="en-GB"/>
              </w:rPr>
              <w:lastRenderedPageBreak/>
              <w:t xml:space="preserve">Application: </w:t>
            </w:r>
            <w:r>
              <w:rPr>
                <w:b/>
                <w:bCs/>
                <w:lang w:val="en-GB"/>
              </w:rPr>
              <w:t>First alarm</w:t>
            </w:r>
            <w:r w:rsidRPr="00F77EF1">
              <w:rPr>
                <w:b/>
                <w:bCs/>
                <w:lang w:val="en-GB"/>
              </w:rPr>
              <w:t xml:space="preserve"> (</w:t>
            </w:r>
            <w:r>
              <w:rPr>
                <w:b/>
                <w:bCs/>
                <w:lang w:val="en-GB"/>
              </w:rPr>
              <w:t>Topic</w:t>
            </w:r>
            <w:r w:rsidRPr="00F77EF1">
              <w:rPr>
                <w:b/>
                <w:bCs/>
                <w:lang w:val="en-GB"/>
              </w:rPr>
              <w:t xml:space="preserve"> </w:t>
            </w:r>
            <w:r>
              <w:rPr>
                <w:b/>
                <w:bCs/>
                <w:lang w:val="en-GB"/>
              </w:rPr>
              <w:t>4</w:t>
            </w:r>
            <w:r w:rsidRPr="00F77EF1">
              <w:rPr>
                <w:b/>
                <w:bCs/>
                <w:lang w:val="en-GB"/>
              </w:rPr>
              <w:t xml:space="preserve">.1) </w:t>
            </w:r>
          </w:p>
          <w:p w14:paraId="02A2C868" w14:textId="4C08851F" w:rsidR="009E7E01" w:rsidRPr="00F77EF1" w:rsidRDefault="009E7E01" w:rsidP="009E7E01">
            <w:pPr>
              <w:rPr>
                <w:b/>
                <w:bCs/>
                <w:lang w:val="en-GB"/>
              </w:rPr>
            </w:pPr>
            <w:r>
              <w:rPr>
                <w:b/>
                <w:bCs/>
                <w:lang w:val="en-GB"/>
              </w:rPr>
              <w:t>Target audience: DO, (M)P, AS</w:t>
            </w:r>
            <w:r w:rsidR="000034CA">
              <w:rPr>
                <w:b/>
                <w:bCs/>
                <w:lang w:val="en-GB"/>
              </w:rPr>
              <w:t>, FB</w:t>
            </w:r>
            <w:r>
              <w:rPr>
                <w:b/>
                <w:bCs/>
                <w:lang w:val="en-GB"/>
              </w:rPr>
              <w:t xml:space="preserve"> </w:t>
            </w:r>
          </w:p>
        </w:tc>
        <w:tc>
          <w:tcPr>
            <w:tcW w:w="5434" w:type="dxa"/>
            <w:tcBorders>
              <w:top w:val="single" w:sz="24" w:space="0" w:color="auto"/>
              <w:left w:val="single" w:sz="4" w:space="0" w:color="auto"/>
              <w:bottom w:val="single" w:sz="4" w:space="0" w:color="auto"/>
              <w:right w:val="single" w:sz="4" w:space="0" w:color="auto"/>
            </w:tcBorders>
            <w:shd w:val="clear" w:color="auto" w:fill="auto"/>
          </w:tcPr>
          <w:p w14:paraId="3032EA09" w14:textId="77777777" w:rsidR="00306571" w:rsidRPr="0099143A" w:rsidRDefault="00306571" w:rsidP="00306571">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9E7E01" w:rsidRPr="00F77EF1" w:rsidRDefault="009E7E01" w:rsidP="009E7E01">
            <w:pPr>
              <w:rPr>
                <w:lang w:val="en-GB"/>
              </w:rPr>
            </w:pPr>
            <w:r w:rsidRPr="00E57BA3">
              <w:rPr>
                <w:b/>
                <w:bCs/>
                <w:lang w:val="en-GB"/>
              </w:rPr>
              <w:t xml:space="preserve">Aim: </w:t>
            </w:r>
            <w:r w:rsidRPr="00F77EF1">
              <w:rPr>
                <w:lang w:val="en-GB"/>
              </w:rPr>
              <w:t xml:space="preserve">The dispatch officer interacts with the caller </w:t>
            </w:r>
            <w:r>
              <w:rPr>
                <w:lang w:val="en-GB"/>
              </w:rPr>
              <w:t xml:space="preserve">to </w:t>
            </w:r>
            <w:r w:rsidRPr="00576336">
              <w:rPr>
                <w:lang w:val="en-GB"/>
              </w:rPr>
              <w:t>identify the likelihood of a possible CBRN release and to know which information should be shared with the chain of command</w:t>
            </w:r>
            <w:r>
              <w:rPr>
                <w:lang w:val="en-GB"/>
              </w:rPr>
              <w:t>.</w:t>
            </w:r>
            <w:r w:rsidRPr="00F77EF1">
              <w:rPr>
                <w:lang w:val="en-GB"/>
              </w:rPr>
              <w:t xml:space="preserve"> </w:t>
            </w:r>
            <w:r>
              <w:rPr>
                <w:lang w:val="en-GB"/>
              </w:rPr>
              <w:t>Use of METHANE and Four W’s protocols.</w:t>
            </w:r>
          </w:p>
        </w:tc>
      </w:tr>
      <w:tr w:rsidR="00040DE9" w:rsidRPr="00F77EF1" w14:paraId="2E9AC732" w14:textId="77777777" w:rsidTr="00B54D00">
        <w:trPr>
          <w:trHeight w:val="300"/>
        </w:trPr>
        <w:tc>
          <w:tcPr>
            <w:tcW w:w="4064"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E7E01" w:rsidRPr="00F77EF1" w:rsidRDefault="009E7E01" w:rsidP="009E7E01">
            <w:pPr>
              <w:rPr>
                <w:lang w:val="en-GB"/>
              </w:rPr>
            </w:pPr>
            <w:r>
              <w:rPr>
                <w:lang w:val="en-GB"/>
              </w:rPr>
              <w:t xml:space="preserve">Example: </w:t>
            </w:r>
          </w:p>
        </w:tc>
        <w:tc>
          <w:tcPr>
            <w:tcW w:w="5434" w:type="dxa"/>
            <w:tcBorders>
              <w:top w:val="single" w:sz="4" w:space="0" w:color="auto"/>
              <w:left w:val="single" w:sz="4" w:space="0" w:color="auto"/>
              <w:bottom w:val="single" w:sz="24" w:space="0" w:color="auto"/>
              <w:right w:val="single" w:sz="4" w:space="0" w:color="auto"/>
            </w:tcBorders>
            <w:shd w:val="clear" w:color="auto" w:fill="auto"/>
          </w:tcPr>
          <w:p w14:paraId="400C3003" w14:textId="2BAA50DA" w:rsidR="009E7E01" w:rsidRPr="00F77EF1" w:rsidRDefault="003E7D23" w:rsidP="009E7E01">
            <w:pPr>
              <w:rPr>
                <w:lang w:val="en-GB"/>
              </w:rPr>
            </w:pPr>
            <w:r>
              <w:rPr>
                <w:noProof/>
              </w:rPr>
              <w:drawing>
                <wp:inline distT="0" distB="0" distL="0" distR="0" wp14:anchorId="3FEC976F" wp14:editId="3D23D2DD">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2880071" cy="1620000"/>
                          </a:xfrm>
                          <a:prstGeom prst="rect">
                            <a:avLst/>
                          </a:prstGeom>
                        </pic:spPr>
                      </pic:pic>
                    </a:graphicData>
                  </a:graphic>
                </wp:inline>
              </w:drawing>
            </w:r>
          </w:p>
        </w:tc>
      </w:tr>
      <w:tr w:rsidR="00EA298C" w:rsidRPr="00846F4A" w14:paraId="70AC960C" w14:textId="77777777" w:rsidTr="00B54D00">
        <w:trPr>
          <w:trHeight w:val="300"/>
        </w:trPr>
        <w:tc>
          <w:tcPr>
            <w:tcW w:w="4064"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EA298C" w:rsidRDefault="00EA298C" w:rsidP="00EA298C">
            <w:pPr>
              <w:rPr>
                <w:b/>
                <w:color w:val="000000"/>
                <w:lang w:val="en-GB" w:eastAsia="nl-NL"/>
              </w:rPr>
            </w:pPr>
            <w:r>
              <w:rPr>
                <w:b/>
                <w:color w:val="000000"/>
                <w:lang w:val="en-GB" w:eastAsia="nl-NL"/>
              </w:rPr>
              <w:t>Application: Arrival on scene (Topic 5.1)</w:t>
            </w:r>
          </w:p>
          <w:p w14:paraId="1F786F75" w14:textId="674BB3D2" w:rsidR="00EA298C" w:rsidRPr="00F77EF1" w:rsidRDefault="00EA298C" w:rsidP="00EA298C">
            <w:pPr>
              <w:rPr>
                <w:b/>
                <w:color w:val="000000"/>
                <w:lang w:val="en-GB" w:eastAsia="nl-NL"/>
              </w:rPr>
            </w:pPr>
            <w:r>
              <w:rPr>
                <w:b/>
                <w:bCs/>
                <w:lang w:val="en-GB"/>
              </w:rPr>
              <w:t xml:space="preserve">Target audience: First responders on scene ((M)P, AS, FB) (GP and EMS target audiences can be added by adapting the scenario) </w:t>
            </w:r>
          </w:p>
        </w:tc>
        <w:tc>
          <w:tcPr>
            <w:tcW w:w="5434" w:type="dxa"/>
            <w:tcBorders>
              <w:top w:val="single" w:sz="24" w:space="0" w:color="auto"/>
              <w:left w:val="single" w:sz="4" w:space="0" w:color="auto"/>
              <w:bottom w:val="single" w:sz="4" w:space="0" w:color="auto"/>
              <w:right w:val="single" w:sz="4" w:space="0" w:color="auto"/>
            </w:tcBorders>
            <w:shd w:val="clear" w:color="auto" w:fill="auto"/>
          </w:tcPr>
          <w:p w14:paraId="53208054" w14:textId="77777777" w:rsidR="00EA298C" w:rsidRPr="0099143A" w:rsidRDefault="00EA298C" w:rsidP="00EA298C">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20E7F813" w:rsidR="00EA298C" w:rsidRPr="00E57BA3" w:rsidRDefault="00EA298C" w:rsidP="00EA298C">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040DE9" w:rsidRPr="00F77EF1" w14:paraId="18C77C49" w14:textId="77777777" w:rsidTr="00B54D00">
        <w:trPr>
          <w:trHeight w:val="300"/>
        </w:trPr>
        <w:tc>
          <w:tcPr>
            <w:tcW w:w="4064"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9E7E01" w:rsidRDefault="009E7E01" w:rsidP="009E7E01">
            <w:pPr>
              <w:rPr>
                <w:b/>
                <w:bCs/>
                <w:lang w:val="en-GB"/>
              </w:rPr>
            </w:pPr>
            <w:r>
              <w:rPr>
                <w:b/>
                <w:bCs/>
                <w:lang w:val="en-GB"/>
              </w:rPr>
              <w:t>Example:</w:t>
            </w:r>
          </w:p>
        </w:tc>
        <w:tc>
          <w:tcPr>
            <w:tcW w:w="5434" w:type="dxa"/>
            <w:tcBorders>
              <w:top w:val="single" w:sz="4" w:space="0" w:color="auto"/>
              <w:left w:val="single" w:sz="4" w:space="0" w:color="auto"/>
              <w:bottom w:val="single" w:sz="24" w:space="0" w:color="auto"/>
              <w:right w:val="single" w:sz="4" w:space="0" w:color="auto"/>
            </w:tcBorders>
            <w:shd w:val="clear" w:color="auto" w:fill="auto"/>
          </w:tcPr>
          <w:p w14:paraId="59CC96F1" w14:textId="2D45F38D" w:rsidR="009E7E01" w:rsidRPr="00F77EF1" w:rsidRDefault="003E7D23" w:rsidP="009E7E01">
            <w:pPr>
              <w:rPr>
                <w:lang w:val="en-GB"/>
              </w:rPr>
            </w:pPr>
            <w:r>
              <w:rPr>
                <w:noProof/>
              </w:rPr>
              <w:drawing>
                <wp:inline distT="0" distB="0" distL="0" distR="0" wp14:anchorId="6F9D420F" wp14:editId="44C71A93">
                  <wp:extent cx="2880071" cy="1620000"/>
                  <wp:effectExtent l="0" t="0" r="0" b="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2880071" cy="1620000"/>
                          </a:xfrm>
                          <a:prstGeom prst="rect">
                            <a:avLst/>
                          </a:prstGeom>
                        </pic:spPr>
                      </pic:pic>
                    </a:graphicData>
                  </a:graphic>
                </wp:inline>
              </w:drawing>
            </w:r>
          </w:p>
        </w:tc>
      </w:tr>
      <w:tr w:rsidR="00EA298C" w:rsidRPr="00846F4A" w14:paraId="5465E813" w14:textId="77777777" w:rsidTr="00B54D00">
        <w:trPr>
          <w:trHeight w:val="300"/>
        </w:trPr>
        <w:tc>
          <w:tcPr>
            <w:tcW w:w="4064" w:type="dxa"/>
            <w:tcBorders>
              <w:top w:val="single" w:sz="24" w:space="0" w:color="auto"/>
              <w:left w:val="single" w:sz="4" w:space="0" w:color="auto"/>
              <w:bottom w:val="single" w:sz="4" w:space="0" w:color="auto"/>
              <w:right w:val="single" w:sz="4" w:space="0" w:color="auto"/>
            </w:tcBorders>
            <w:shd w:val="clear" w:color="auto" w:fill="auto"/>
            <w:noWrap/>
          </w:tcPr>
          <w:p w14:paraId="70F04F4F" w14:textId="77777777" w:rsidR="00EA298C" w:rsidRDefault="00EA298C" w:rsidP="00EA298C">
            <w:pPr>
              <w:rPr>
                <w:b/>
                <w:bCs/>
                <w:lang w:val="en-GB"/>
              </w:rPr>
            </w:pPr>
            <w:r>
              <w:rPr>
                <w:b/>
                <w:bCs/>
                <w:lang w:val="en-GB"/>
              </w:rPr>
              <w:t xml:space="preserve">Application: Forensic awareness (topic 5.2) </w:t>
            </w:r>
          </w:p>
          <w:p w14:paraId="4E1F755F" w14:textId="77777777" w:rsidR="00EA298C" w:rsidRDefault="00EA298C" w:rsidP="00EA298C">
            <w:pPr>
              <w:rPr>
                <w:b/>
                <w:bCs/>
                <w:lang w:val="en-GB"/>
              </w:rPr>
            </w:pPr>
            <w:r>
              <w:rPr>
                <w:b/>
                <w:bCs/>
                <w:lang w:val="en-GB"/>
              </w:rPr>
              <w:t>Target audience: First responders on scene ((M)P, AS, FB) (GP and EMS target audiences can be added by adapting the scenario)</w:t>
            </w:r>
          </w:p>
        </w:tc>
        <w:tc>
          <w:tcPr>
            <w:tcW w:w="5434" w:type="dxa"/>
            <w:tcBorders>
              <w:top w:val="single" w:sz="24" w:space="0" w:color="auto"/>
              <w:left w:val="single" w:sz="4" w:space="0" w:color="auto"/>
              <w:bottom w:val="single" w:sz="4" w:space="0" w:color="auto"/>
              <w:right w:val="single" w:sz="4" w:space="0" w:color="auto"/>
            </w:tcBorders>
            <w:shd w:val="clear" w:color="auto" w:fill="auto"/>
          </w:tcPr>
          <w:p w14:paraId="694F787E" w14:textId="77777777" w:rsidR="00EA298C" w:rsidRPr="002F6204" w:rsidRDefault="00EA298C" w:rsidP="00EA298C">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27E6981A" w14:textId="28CE7794" w:rsidR="00EA298C" w:rsidRDefault="00EA298C" w:rsidP="00EA298C">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3E7D23" w:rsidRPr="00F77EF1" w14:paraId="45037EDD" w14:textId="77777777" w:rsidTr="00B54D00">
        <w:trPr>
          <w:trHeight w:val="300"/>
        </w:trPr>
        <w:tc>
          <w:tcPr>
            <w:tcW w:w="4064" w:type="dxa"/>
            <w:tcBorders>
              <w:top w:val="single" w:sz="4" w:space="0" w:color="auto"/>
              <w:left w:val="single" w:sz="4" w:space="0" w:color="auto"/>
              <w:bottom w:val="single" w:sz="4" w:space="0" w:color="auto"/>
              <w:right w:val="single" w:sz="4" w:space="0" w:color="auto"/>
            </w:tcBorders>
            <w:shd w:val="clear" w:color="auto" w:fill="auto"/>
            <w:noWrap/>
          </w:tcPr>
          <w:p w14:paraId="6484F771" w14:textId="77777777" w:rsidR="003E7D23" w:rsidRDefault="003E7D23" w:rsidP="005B3963">
            <w:pPr>
              <w:rPr>
                <w:b/>
                <w:bCs/>
                <w:lang w:val="en-GB"/>
              </w:rPr>
            </w:pPr>
            <w:r>
              <w:rPr>
                <w:b/>
                <w:bCs/>
                <w:lang w:val="en-GB"/>
              </w:rPr>
              <w:lastRenderedPageBreak/>
              <w:t xml:space="preserve">Example: </w:t>
            </w:r>
          </w:p>
        </w:tc>
        <w:tc>
          <w:tcPr>
            <w:tcW w:w="5434" w:type="dxa"/>
            <w:tcBorders>
              <w:top w:val="single" w:sz="4" w:space="0" w:color="auto"/>
              <w:left w:val="single" w:sz="4" w:space="0" w:color="auto"/>
              <w:bottom w:val="single" w:sz="4" w:space="0" w:color="auto"/>
              <w:right w:val="single" w:sz="4" w:space="0" w:color="auto"/>
            </w:tcBorders>
            <w:shd w:val="clear" w:color="auto" w:fill="auto"/>
          </w:tcPr>
          <w:p w14:paraId="5C15A262" w14:textId="338F9AB3" w:rsidR="003E7D23" w:rsidRPr="00E57BA3" w:rsidRDefault="003E7D23" w:rsidP="005B3963">
            <w:pPr>
              <w:rPr>
                <w:b/>
                <w:bCs/>
                <w:noProof/>
                <w:lang w:val="en-GB"/>
              </w:rPr>
            </w:pPr>
            <w:r>
              <w:rPr>
                <w:noProof/>
              </w:rPr>
              <w:drawing>
                <wp:inline distT="0" distB="0" distL="0" distR="0" wp14:anchorId="272EA1DE" wp14:editId="2AA0CBC0">
                  <wp:extent cx="2880071" cy="1620000"/>
                  <wp:effectExtent l="0" t="0" r="0" b="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96DAC541-7B7A-43D3-8B79-37D633B846F1}">
                                <asvg:svgBlip xmlns:asvg="http://schemas.microsoft.com/office/drawing/2016/SVG/main" r:embed="rId16"/>
                              </a:ext>
                            </a:extLst>
                          </a:blip>
                          <a:stretch>
                            <a:fillRect/>
                          </a:stretch>
                        </pic:blipFill>
                        <pic:spPr>
                          <a:xfrm>
                            <a:off x="0" y="0"/>
                            <a:ext cx="2880071" cy="1620000"/>
                          </a:xfrm>
                          <a:prstGeom prst="rect">
                            <a:avLst/>
                          </a:prstGeom>
                        </pic:spPr>
                      </pic:pic>
                    </a:graphicData>
                  </a:graphic>
                </wp:inline>
              </w:drawing>
            </w:r>
          </w:p>
        </w:tc>
      </w:tr>
      <w:tr w:rsidR="00EA298C" w:rsidRPr="00846F4A" w14:paraId="38DFB384" w14:textId="77777777" w:rsidTr="00B54D00">
        <w:trPr>
          <w:trHeight w:val="300"/>
        </w:trPr>
        <w:tc>
          <w:tcPr>
            <w:tcW w:w="4064" w:type="dxa"/>
            <w:tcBorders>
              <w:top w:val="single" w:sz="24" w:space="0" w:color="auto"/>
              <w:left w:val="single" w:sz="4" w:space="0" w:color="auto"/>
              <w:bottom w:val="single" w:sz="4" w:space="0" w:color="auto"/>
              <w:right w:val="single" w:sz="4" w:space="0" w:color="auto"/>
            </w:tcBorders>
            <w:shd w:val="clear" w:color="auto" w:fill="auto"/>
            <w:noWrap/>
          </w:tcPr>
          <w:p w14:paraId="52888808" w14:textId="3FCBAA9B" w:rsidR="00EA298C" w:rsidRDefault="00EA298C" w:rsidP="00EA298C">
            <w:pPr>
              <w:rPr>
                <w:b/>
                <w:bCs/>
                <w:lang w:val="en-GB"/>
              </w:rPr>
            </w:pPr>
            <w:r>
              <w:rPr>
                <w:b/>
                <w:bCs/>
                <w:lang w:val="en-GB"/>
              </w:rPr>
              <w:t>Application: medical treatment and triage (topic 5.6)</w:t>
            </w:r>
          </w:p>
          <w:p w14:paraId="20287890" w14:textId="2D71DE2C" w:rsidR="00EA298C" w:rsidRDefault="00EA298C" w:rsidP="00EA298C">
            <w:pPr>
              <w:rPr>
                <w:b/>
                <w:bCs/>
                <w:lang w:val="en-GB"/>
              </w:rPr>
            </w:pPr>
            <w:r>
              <w:rPr>
                <w:b/>
                <w:bCs/>
                <w:lang w:val="en-GB"/>
              </w:rPr>
              <w:t>Target audience: First responders on scene ((M)P, AS, FB) (GP and EMS target audiences can be added by adapting the scenario)</w:t>
            </w:r>
          </w:p>
        </w:tc>
        <w:tc>
          <w:tcPr>
            <w:tcW w:w="5434" w:type="dxa"/>
            <w:tcBorders>
              <w:top w:val="single" w:sz="24" w:space="0" w:color="auto"/>
              <w:left w:val="single" w:sz="4" w:space="0" w:color="auto"/>
              <w:bottom w:val="single" w:sz="4" w:space="0" w:color="auto"/>
              <w:right w:val="single" w:sz="4" w:space="0" w:color="auto"/>
            </w:tcBorders>
            <w:shd w:val="clear" w:color="auto" w:fill="auto"/>
          </w:tcPr>
          <w:p w14:paraId="5A6B1DD9" w14:textId="77777777" w:rsidR="00EA298C" w:rsidRPr="002F6204" w:rsidRDefault="00EA298C" w:rsidP="00EA298C">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5A64F216" w:rsidR="00EA298C" w:rsidRDefault="00EA298C" w:rsidP="00EA298C">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040DE9" w:rsidRPr="00F77EF1" w14:paraId="6472CA77" w14:textId="77777777" w:rsidTr="00B54D00">
        <w:trPr>
          <w:trHeight w:val="300"/>
        </w:trPr>
        <w:tc>
          <w:tcPr>
            <w:tcW w:w="4064"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9E7E01" w:rsidRDefault="009E7E01" w:rsidP="009E7E01">
            <w:pPr>
              <w:rPr>
                <w:b/>
                <w:bCs/>
                <w:lang w:val="en-GB"/>
              </w:rPr>
            </w:pPr>
            <w:r>
              <w:rPr>
                <w:b/>
                <w:bCs/>
                <w:lang w:val="en-GB"/>
              </w:rPr>
              <w:t xml:space="preserve">Example: </w:t>
            </w:r>
          </w:p>
        </w:tc>
        <w:tc>
          <w:tcPr>
            <w:tcW w:w="5434" w:type="dxa"/>
            <w:tcBorders>
              <w:top w:val="single" w:sz="4" w:space="0" w:color="auto"/>
              <w:left w:val="single" w:sz="4" w:space="0" w:color="auto"/>
              <w:bottom w:val="single" w:sz="24" w:space="0" w:color="auto"/>
              <w:right w:val="single" w:sz="4" w:space="0" w:color="auto"/>
            </w:tcBorders>
            <w:shd w:val="clear" w:color="auto" w:fill="auto"/>
          </w:tcPr>
          <w:p w14:paraId="338084C8" w14:textId="67CD11D3" w:rsidR="009E7E01" w:rsidRDefault="003E7D23" w:rsidP="009E7E01">
            <w:pPr>
              <w:rPr>
                <w:noProof/>
                <w:lang w:val="en-GB"/>
              </w:rPr>
            </w:pPr>
            <w:r>
              <w:rPr>
                <w:noProof/>
              </w:rPr>
              <w:drawing>
                <wp:inline distT="0" distB="0" distL="0" distR="0" wp14:anchorId="4131C3D6" wp14:editId="321C32B1">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EA298C" w:rsidRPr="00846F4A" w14:paraId="2B3D1AA7" w14:textId="77777777" w:rsidTr="00B54D00">
        <w:trPr>
          <w:trHeight w:val="300"/>
        </w:trPr>
        <w:tc>
          <w:tcPr>
            <w:tcW w:w="4064"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EA298C" w:rsidRDefault="00EA298C" w:rsidP="00EA298C">
            <w:pPr>
              <w:rPr>
                <w:b/>
                <w:bCs/>
                <w:lang w:val="en-GB"/>
              </w:rPr>
            </w:pPr>
            <w:r>
              <w:rPr>
                <w:b/>
                <w:bCs/>
                <w:lang w:val="en-GB"/>
              </w:rPr>
              <w:t xml:space="preserve">Application: Alarm Protocol (topic 6.1) </w:t>
            </w:r>
          </w:p>
          <w:p w14:paraId="56000145" w14:textId="716FCCDC" w:rsidR="00EA298C" w:rsidRDefault="00EA298C" w:rsidP="00EA298C">
            <w:pPr>
              <w:rPr>
                <w:b/>
                <w:bCs/>
                <w:lang w:val="en-GB"/>
              </w:rPr>
            </w:pPr>
            <w:r>
              <w:rPr>
                <w:b/>
                <w:bCs/>
                <w:lang w:val="en-GB"/>
              </w:rPr>
              <w:t>Target audience: DO</w:t>
            </w:r>
          </w:p>
        </w:tc>
        <w:tc>
          <w:tcPr>
            <w:tcW w:w="5434" w:type="dxa"/>
            <w:tcBorders>
              <w:top w:val="single" w:sz="4" w:space="0" w:color="auto"/>
              <w:left w:val="single" w:sz="4" w:space="0" w:color="auto"/>
              <w:bottom w:val="single" w:sz="4" w:space="0" w:color="auto"/>
              <w:right w:val="single" w:sz="4" w:space="0" w:color="auto"/>
            </w:tcBorders>
            <w:shd w:val="clear" w:color="auto" w:fill="auto"/>
          </w:tcPr>
          <w:p w14:paraId="201F01ED" w14:textId="77777777" w:rsidR="00EA298C" w:rsidRPr="002F6204" w:rsidRDefault="00EA298C" w:rsidP="00EA298C">
            <w:pPr>
              <w:rPr>
                <w:b/>
                <w:bCs/>
                <w:lang w:val="en-GB"/>
              </w:rPr>
            </w:pPr>
            <w:r w:rsidRPr="002F6204">
              <w:rPr>
                <w:b/>
                <w:bCs/>
                <w:lang w:val="en-US"/>
              </w:rPr>
              <w:t xml:space="preserve">Learning objective: </w:t>
            </w:r>
            <w:r w:rsidRPr="002F6204">
              <w:rPr>
                <w:lang w:val="en-US"/>
              </w:rPr>
              <w:t xml:space="preserve">To </w:t>
            </w:r>
            <w:r w:rsidRPr="00452FB3">
              <w:rPr>
                <w:u w:val="single"/>
                <w:lang w:val="en-US"/>
              </w:rPr>
              <w:t>differentiate</w:t>
            </w:r>
            <w:r w:rsidRPr="002F6204">
              <w:rPr>
                <w:lang w:val="en-US"/>
              </w:rPr>
              <w:t xml:space="preserve"> a possible CBRN incident (from normal incident) and to </w:t>
            </w:r>
            <w:r w:rsidRPr="00452FB3">
              <w:rPr>
                <w:u w:val="single"/>
                <w:lang w:val="en-US"/>
              </w:rPr>
              <w:t>carry out</w:t>
            </w:r>
            <w:r w:rsidRPr="002F6204">
              <w:rPr>
                <w:lang w:val="en-US"/>
              </w:rPr>
              <w:t xml:space="preserve"> appropriate procedures &amp; protocols.</w:t>
            </w:r>
          </w:p>
          <w:p w14:paraId="593D99AB" w14:textId="6099934C" w:rsidR="00EA298C" w:rsidRPr="00FF0A93" w:rsidRDefault="00EA298C" w:rsidP="00EA298C">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040DE9" w:rsidRPr="00F51E91" w14:paraId="3C4BA275" w14:textId="77777777" w:rsidTr="00B54D00">
        <w:trPr>
          <w:trHeight w:val="300"/>
        </w:trPr>
        <w:tc>
          <w:tcPr>
            <w:tcW w:w="4064"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9E7E01" w:rsidRDefault="009E7E01" w:rsidP="009E7E01">
            <w:pPr>
              <w:rPr>
                <w:b/>
                <w:bCs/>
                <w:lang w:val="en-GB"/>
              </w:rPr>
            </w:pPr>
            <w:r>
              <w:rPr>
                <w:b/>
                <w:bCs/>
                <w:lang w:val="en-GB"/>
              </w:rPr>
              <w:t>Example:</w:t>
            </w:r>
          </w:p>
        </w:tc>
        <w:tc>
          <w:tcPr>
            <w:tcW w:w="5434" w:type="dxa"/>
            <w:tcBorders>
              <w:top w:val="single" w:sz="4" w:space="0" w:color="auto"/>
              <w:left w:val="single" w:sz="4" w:space="0" w:color="auto"/>
              <w:bottom w:val="single" w:sz="4" w:space="0" w:color="auto"/>
              <w:right w:val="single" w:sz="4" w:space="0" w:color="auto"/>
            </w:tcBorders>
            <w:shd w:val="clear" w:color="auto" w:fill="auto"/>
          </w:tcPr>
          <w:p w14:paraId="047CA17B" w14:textId="71D865B0" w:rsidR="009E7E01" w:rsidRPr="00E57BA3" w:rsidRDefault="005B1DC8" w:rsidP="009E7E01">
            <w:pPr>
              <w:rPr>
                <w:b/>
                <w:bCs/>
                <w:lang w:val="en-GB"/>
              </w:rPr>
            </w:pPr>
            <w:r>
              <w:rPr>
                <w:noProof/>
              </w:rPr>
              <w:t xml:space="preserve"> </w:t>
            </w:r>
            <w:r w:rsidR="003E7D23">
              <w:rPr>
                <w:noProof/>
              </w:rPr>
              <w:drawing>
                <wp:inline distT="0" distB="0" distL="0" distR="0" wp14:anchorId="15C2065A" wp14:editId="27C012B4">
                  <wp:extent cx="2880071" cy="1620000"/>
                  <wp:effectExtent l="0" t="0" r="0" b="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bl>
    <w:p w14:paraId="52CBF388" w14:textId="5825ECDF" w:rsidR="001E40A4" w:rsidRDefault="001E40A4" w:rsidP="00452FB3">
      <w:pPr>
        <w:rPr>
          <w:lang w:val="en-US"/>
        </w:rPr>
      </w:pPr>
    </w:p>
    <w:sectPr w:rsidR="001E40A4" w:rsidSect="001B5A51">
      <w:headerReference w:type="default" r:id="rId21"/>
      <w:headerReference w:type="first" r:id="rId2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F3E71B" w14:textId="77777777" w:rsidR="00D01887" w:rsidRDefault="00D01887" w:rsidP="001B5A51">
      <w:pPr>
        <w:spacing w:after="0" w:line="240" w:lineRule="auto"/>
      </w:pPr>
      <w:r>
        <w:separator/>
      </w:r>
    </w:p>
  </w:endnote>
  <w:endnote w:type="continuationSeparator" w:id="0">
    <w:p w14:paraId="49A3D1CD" w14:textId="77777777" w:rsidR="00D01887" w:rsidRDefault="00D01887"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458709" w14:textId="77777777" w:rsidR="00D01887" w:rsidRDefault="00D01887" w:rsidP="001B5A51">
      <w:pPr>
        <w:spacing w:after="0" w:line="240" w:lineRule="auto"/>
      </w:pPr>
      <w:r>
        <w:separator/>
      </w:r>
    </w:p>
  </w:footnote>
  <w:footnote w:type="continuationSeparator" w:id="0">
    <w:p w14:paraId="227F14C6" w14:textId="77777777" w:rsidR="00D01887" w:rsidRDefault="00D01887"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354E1008"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Pr="00F51DF6">
      <w:rPr>
        <w:rFonts w:ascii="Calibri" w:eastAsia="Times New Roman" w:hAnsi="Calibri" w:cs="Times New Roman"/>
        <w:caps/>
        <w:smallCaps/>
        <w:sz w:val="18"/>
        <w:szCs w:val="20"/>
        <w:lang w:eastAsia="fr-FR"/>
      </w:rPr>
      <w:fldChar w:fldCharType="begin"/>
    </w:r>
    <w:r w:rsidRPr="00F51DF6">
      <w:rPr>
        <w:rFonts w:ascii="Calibri" w:eastAsia="Times New Roman" w:hAnsi="Calibri" w:cs="Times New Roman"/>
        <w:caps/>
        <w:smallCaps/>
        <w:sz w:val="18"/>
        <w:szCs w:val="20"/>
        <w:lang w:eastAsia="fr-FR"/>
      </w:rPr>
      <w:instrText xml:space="preserve"> DATE \@ "dd MMMM yyyy" </w:instrText>
    </w:r>
    <w:r w:rsidRPr="00F51DF6">
      <w:rPr>
        <w:rFonts w:ascii="Calibri" w:eastAsia="Times New Roman" w:hAnsi="Calibri" w:cs="Times New Roman"/>
        <w:caps/>
        <w:smallCaps/>
        <w:sz w:val="18"/>
        <w:szCs w:val="20"/>
        <w:lang w:eastAsia="fr-FR"/>
      </w:rPr>
      <w:fldChar w:fldCharType="separate"/>
    </w:r>
    <w:r w:rsidR="00452FB3">
      <w:rPr>
        <w:rFonts w:ascii="Calibri" w:eastAsia="Times New Roman" w:hAnsi="Calibri" w:cs="Times New Roman"/>
        <w:caps/>
        <w:smallCaps/>
        <w:noProof/>
        <w:sz w:val="18"/>
        <w:szCs w:val="20"/>
        <w:lang w:eastAsia="fr-FR"/>
      </w:rPr>
      <w:t>22 november 2022</w:t>
    </w:r>
    <w:r w:rsidRPr="00F51DF6">
      <w:rPr>
        <w:rFonts w:ascii="Calibri" w:eastAsia="Times New Roman" w:hAnsi="Calibri" w:cs="Times New Roman"/>
        <w:caps/>
        <w:smallCaps/>
        <w:sz w:val="18"/>
        <w:szCs w:val="20"/>
        <w:lang w:eastAsia="fr-FR"/>
      </w:rPr>
      <w:fldChar w:fldCharType="end"/>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31DBD8C"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377510964">
    <w:abstractNumId w:val="15"/>
  </w:num>
  <w:num w:numId="2" w16cid:durableId="632440534">
    <w:abstractNumId w:val="12"/>
  </w:num>
  <w:num w:numId="3" w16cid:durableId="768893384">
    <w:abstractNumId w:val="13"/>
  </w:num>
  <w:num w:numId="4" w16cid:durableId="1762724442">
    <w:abstractNumId w:val="14"/>
  </w:num>
  <w:num w:numId="5" w16cid:durableId="1795783527">
    <w:abstractNumId w:val="2"/>
  </w:num>
  <w:num w:numId="6" w16cid:durableId="1749227616">
    <w:abstractNumId w:val="3"/>
  </w:num>
  <w:num w:numId="7" w16cid:durableId="342438035">
    <w:abstractNumId w:val="8"/>
  </w:num>
  <w:num w:numId="8" w16cid:durableId="537741059">
    <w:abstractNumId w:val="1"/>
  </w:num>
  <w:num w:numId="9" w16cid:durableId="108938848">
    <w:abstractNumId w:val="0"/>
  </w:num>
  <w:num w:numId="10" w16cid:durableId="1918663350">
    <w:abstractNumId w:val="11"/>
  </w:num>
  <w:num w:numId="11" w16cid:durableId="1290743789">
    <w:abstractNumId w:val="10"/>
  </w:num>
  <w:num w:numId="12" w16cid:durableId="468744169">
    <w:abstractNumId w:val="4"/>
  </w:num>
  <w:num w:numId="13" w16cid:durableId="64186205">
    <w:abstractNumId w:val="7"/>
  </w:num>
  <w:num w:numId="14" w16cid:durableId="1299266617">
    <w:abstractNumId w:val="16"/>
  </w:num>
  <w:num w:numId="15" w16cid:durableId="1696300741">
    <w:abstractNumId w:val="9"/>
  </w:num>
  <w:num w:numId="16" w16cid:durableId="1069766942">
    <w:abstractNumId w:val="5"/>
  </w:num>
  <w:num w:numId="17" w16cid:durableId="34035704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34CA"/>
    <w:rsid w:val="000051A3"/>
    <w:rsid w:val="00027D3D"/>
    <w:rsid w:val="000363FB"/>
    <w:rsid w:val="00040DE9"/>
    <w:rsid w:val="0004304C"/>
    <w:rsid w:val="00067702"/>
    <w:rsid w:val="000864FE"/>
    <w:rsid w:val="000C4A20"/>
    <w:rsid w:val="000D7223"/>
    <w:rsid w:val="000D7ADD"/>
    <w:rsid w:val="00111C14"/>
    <w:rsid w:val="00117447"/>
    <w:rsid w:val="00174B9C"/>
    <w:rsid w:val="001B5A51"/>
    <w:rsid w:val="001E40A4"/>
    <w:rsid w:val="0020318D"/>
    <w:rsid w:val="00212E6C"/>
    <w:rsid w:val="00213D0B"/>
    <w:rsid w:val="00215435"/>
    <w:rsid w:val="002166D6"/>
    <w:rsid w:val="002332DF"/>
    <w:rsid w:val="00247329"/>
    <w:rsid w:val="002657FC"/>
    <w:rsid w:val="0027274D"/>
    <w:rsid w:val="00291B50"/>
    <w:rsid w:val="0029715E"/>
    <w:rsid w:val="002E7685"/>
    <w:rsid w:val="00304306"/>
    <w:rsid w:val="00306571"/>
    <w:rsid w:val="00337092"/>
    <w:rsid w:val="0038612B"/>
    <w:rsid w:val="003A4DD7"/>
    <w:rsid w:val="003A79CA"/>
    <w:rsid w:val="003B00A8"/>
    <w:rsid w:val="003B2D35"/>
    <w:rsid w:val="003B4C92"/>
    <w:rsid w:val="003B538F"/>
    <w:rsid w:val="003C05EE"/>
    <w:rsid w:val="003E7D23"/>
    <w:rsid w:val="00442CAF"/>
    <w:rsid w:val="00452FB3"/>
    <w:rsid w:val="00453D83"/>
    <w:rsid w:val="00475F99"/>
    <w:rsid w:val="00497D3D"/>
    <w:rsid w:val="004A2B9B"/>
    <w:rsid w:val="004A3520"/>
    <w:rsid w:val="004E319D"/>
    <w:rsid w:val="004F44E9"/>
    <w:rsid w:val="00523671"/>
    <w:rsid w:val="0052723F"/>
    <w:rsid w:val="00547044"/>
    <w:rsid w:val="00576336"/>
    <w:rsid w:val="005A21C3"/>
    <w:rsid w:val="005A71A0"/>
    <w:rsid w:val="005B1DC8"/>
    <w:rsid w:val="005F6F21"/>
    <w:rsid w:val="00601E67"/>
    <w:rsid w:val="006410A1"/>
    <w:rsid w:val="006672C6"/>
    <w:rsid w:val="006746C9"/>
    <w:rsid w:val="006D3C3E"/>
    <w:rsid w:val="006F36AB"/>
    <w:rsid w:val="007141E6"/>
    <w:rsid w:val="007209D2"/>
    <w:rsid w:val="0072772A"/>
    <w:rsid w:val="00753186"/>
    <w:rsid w:val="00755CA7"/>
    <w:rsid w:val="00760FBB"/>
    <w:rsid w:val="00764FCE"/>
    <w:rsid w:val="007B22F3"/>
    <w:rsid w:val="007B2A98"/>
    <w:rsid w:val="007D37FF"/>
    <w:rsid w:val="007E145D"/>
    <w:rsid w:val="007F0E22"/>
    <w:rsid w:val="00804CAA"/>
    <w:rsid w:val="00836161"/>
    <w:rsid w:val="00846F4A"/>
    <w:rsid w:val="0086170F"/>
    <w:rsid w:val="00881E67"/>
    <w:rsid w:val="00883DD5"/>
    <w:rsid w:val="008B51EF"/>
    <w:rsid w:val="008C28F9"/>
    <w:rsid w:val="008D43A2"/>
    <w:rsid w:val="008F12C3"/>
    <w:rsid w:val="008F20DC"/>
    <w:rsid w:val="008F33D3"/>
    <w:rsid w:val="00911FA3"/>
    <w:rsid w:val="00932A7E"/>
    <w:rsid w:val="00970254"/>
    <w:rsid w:val="00987E29"/>
    <w:rsid w:val="009A1FD9"/>
    <w:rsid w:val="009B1259"/>
    <w:rsid w:val="009D6E40"/>
    <w:rsid w:val="009E7E01"/>
    <w:rsid w:val="009F1CA2"/>
    <w:rsid w:val="009F5D32"/>
    <w:rsid w:val="00A12698"/>
    <w:rsid w:val="00A35953"/>
    <w:rsid w:val="00A805F0"/>
    <w:rsid w:val="00AB0F1E"/>
    <w:rsid w:val="00AE7D89"/>
    <w:rsid w:val="00AF0F85"/>
    <w:rsid w:val="00B01387"/>
    <w:rsid w:val="00B15438"/>
    <w:rsid w:val="00B225D2"/>
    <w:rsid w:val="00B53726"/>
    <w:rsid w:val="00B54D00"/>
    <w:rsid w:val="00B76570"/>
    <w:rsid w:val="00B9451C"/>
    <w:rsid w:val="00BA56FF"/>
    <w:rsid w:val="00BD387A"/>
    <w:rsid w:val="00BF2915"/>
    <w:rsid w:val="00BF6F7A"/>
    <w:rsid w:val="00C24BB0"/>
    <w:rsid w:val="00C32788"/>
    <w:rsid w:val="00C350A9"/>
    <w:rsid w:val="00C62B85"/>
    <w:rsid w:val="00C75546"/>
    <w:rsid w:val="00C816EA"/>
    <w:rsid w:val="00CA414D"/>
    <w:rsid w:val="00CB4307"/>
    <w:rsid w:val="00CD2397"/>
    <w:rsid w:val="00CF0CF3"/>
    <w:rsid w:val="00D01887"/>
    <w:rsid w:val="00D356A1"/>
    <w:rsid w:val="00D36CB8"/>
    <w:rsid w:val="00D6657F"/>
    <w:rsid w:val="00DA7143"/>
    <w:rsid w:val="00DB7B13"/>
    <w:rsid w:val="00DC3C9C"/>
    <w:rsid w:val="00E002C1"/>
    <w:rsid w:val="00E31939"/>
    <w:rsid w:val="00E34872"/>
    <w:rsid w:val="00E476CE"/>
    <w:rsid w:val="00E57BA3"/>
    <w:rsid w:val="00EA298C"/>
    <w:rsid w:val="00EE6100"/>
    <w:rsid w:val="00F07F9C"/>
    <w:rsid w:val="00F162D1"/>
    <w:rsid w:val="00F27982"/>
    <w:rsid w:val="00F325EA"/>
    <w:rsid w:val="00F32F89"/>
    <w:rsid w:val="00F51E91"/>
    <w:rsid w:val="00F53797"/>
    <w:rsid w:val="00F77EF1"/>
    <w:rsid w:val="00F862E4"/>
    <w:rsid w:val="00F96A4B"/>
    <w:rsid w:val="00FC4FD6"/>
    <w:rsid w:val="00FD6D93"/>
    <w:rsid w:val="00FF0A93"/>
    <w:rsid w:val="00FF611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paragraph" w:styleId="Revision">
    <w:name w:val="Revision"/>
    <w:hidden/>
    <w:uiPriority w:val="99"/>
    <w:semiHidden/>
    <w:rsid w:val="00601E6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29526">
      <w:bodyDiv w:val="1"/>
      <w:marLeft w:val="0"/>
      <w:marRight w:val="0"/>
      <w:marTop w:val="0"/>
      <w:marBottom w:val="0"/>
      <w:divBdr>
        <w:top w:val="none" w:sz="0" w:space="0" w:color="auto"/>
        <w:left w:val="none" w:sz="0" w:space="0" w:color="auto"/>
        <w:bottom w:val="none" w:sz="0" w:space="0" w:color="auto"/>
        <w:right w:val="none" w:sz="0" w:space="0" w:color="auto"/>
      </w:divBdr>
      <w:divsChild>
        <w:div w:id="1026447333">
          <w:marLeft w:val="0"/>
          <w:marRight w:val="0"/>
          <w:marTop w:val="0"/>
          <w:marBottom w:val="0"/>
          <w:divBdr>
            <w:top w:val="none" w:sz="0" w:space="0" w:color="auto"/>
            <w:left w:val="none" w:sz="0" w:space="0" w:color="auto"/>
            <w:bottom w:val="none" w:sz="0" w:space="0" w:color="auto"/>
            <w:right w:val="none" w:sz="0" w:space="0" w:color="auto"/>
          </w:divBdr>
        </w:div>
      </w:divsChild>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08247077">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711807776">
      <w:bodyDiv w:val="1"/>
      <w:marLeft w:val="0"/>
      <w:marRight w:val="0"/>
      <w:marTop w:val="0"/>
      <w:marBottom w:val="0"/>
      <w:divBdr>
        <w:top w:val="none" w:sz="0" w:space="0" w:color="auto"/>
        <w:left w:val="none" w:sz="0" w:space="0" w:color="auto"/>
        <w:bottom w:val="none" w:sz="0" w:space="0" w:color="auto"/>
        <w:right w:val="none" w:sz="0" w:space="0" w:color="auto"/>
      </w:divBdr>
    </w:div>
    <w:div w:id="909967587">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5060162">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401443374">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605459373">
      <w:bodyDiv w:val="1"/>
      <w:marLeft w:val="0"/>
      <w:marRight w:val="0"/>
      <w:marTop w:val="0"/>
      <w:marBottom w:val="0"/>
      <w:divBdr>
        <w:top w:val="none" w:sz="0" w:space="0" w:color="auto"/>
        <w:left w:val="none" w:sz="0" w:space="0" w:color="auto"/>
        <w:bottom w:val="none" w:sz="0" w:space="0" w:color="auto"/>
        <w:right w:val="none" w:sz="0" w:space="0" w:color="auto"/>
      </w:divBdr>
      <w:divsChild>
        <w:div w:id="149883750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2.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51DB0AD-EE44-49A6-86A5-90FF6C94A203}">
  <ds:schemaRefs>
    <ds:schemaRef ds:uri="http://schemas.openxmlformats.org/officeDocument/2006/bibliography"/>
  </ds:schemaRefs>
</ds:datastoreItem>
</file>

<file path=customXml/itemProps4.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818</Words>
  <Characters>4665</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7</cp:revision>
  <dcterms:created xsi:type="dcterms:W3CDTF">2022-10-21T06:45:00Z</dcterms:created>
  <dcterms:modified xsi:type="dcterms:W3CDTF">2022-11-22T15:19:00Z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