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143B9E21" w:rsidR="00FC736D" w:rsidRPr="009060C9" w:rsidRDefault="00FC736D" w:rsidP="009C2FCB">
      <w:pPr>
        <w:spacing w:after="100"/>
        <w:jc w:val="center"/>
        <w:rPr>
          <w:rFonts w:asciiTheme="minorHAnsi" w:hAnsiTheme="minorHAnsi" w:cstheme="minorHAnsi"/>
          <w:b/>
          <w:lang w:val="en-GB"/>
        </w:rPr>
      </w:pPr>
      <w:r w:rsidRPr="009060C9">
        <w:rPr>
          <w:rFonts w:asciiTheme="minorHAnsi" w:hAnsiTheme="minorHAnsi" w:cstheme="minorHAnsi"/>
          <w:b/>
          <w:sz w:val="20"/>
          <w:szCs w:val="16"/>
          <w:lang w:val="en-GB"/>
        </w:rPr>
        <w:t>MELODY “A harmonised CBRN training curriculum for first responders and medical staff”</w:t>
      </w:r>
    </w:p>
    <w:p w14:paraId="33C742DF" w14:textId="75970119" w:rsidR="00CD6004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val="en-GB" w:eastAsia="nl-BE"/>
        </w:rPr>
      </w:pPr>
      <w:r w:rsidRPr="009060C9">
        <w:rPr>
          <w:rFonts w:asciiTheme="minorHAnsi" w:hAnsiTheme="minorHAnsi" w:cstheme="minorHAnsi"/>
          <w:b/>
          <w:bCs/>
          <w:sz w:val="20"/>
          <w:szCs w:val="16"/>
          <w:lang w:val="en-GB"/>
        </w:rPr>
        <w:t xml:space="preserve">DIRECTORATE-GENERAL MIGRATION AND HOME AFFAIRS - </w:t>
      </w:r>
      <w:r w:rsidRPr="009060C9">
        <w:rPr>
          <w:rFonts w:asciiTheme="minorHAnsi" w:hAnsiTheme="minorHAnsi" w:cstheme="minorHAnsi"/>
          <w:b/>
          <w:sz w:val="20"/>
          <w:szCs w:val="16"/>
          <w:lang w:val="en-GB"/>
        </w:rPr>
        <w:t>ISFP-2017-AG-PROTECT</w:t>
      </w:r>
    </w:p>
    <w:p w14:paraId="7E5D46F1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5B7774E6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 w:rsidRPr="009060C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FF5B80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2F66044F" w14:textId="77777777" w:rsidR="00FC736D" w:rsidRPr="009060C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DE8DE0" w14:textId="0D62CECD" w:rsidR="002B10DD" w:rsidRPr="009060C9" w:rsidRDefault="000027B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Answers of 6.3 </w:t>
      </w:r>
      <w:r w:rsidR="00117E7B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T</w:t>
      </w:r>
      <w:r w:rsidR="00A43C54" w:rsidRPr="009060C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est </w:t>
      </w:r>
      <w:r w:rsidR="00117E7B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Q</w:t>
      </w:r>
      <w:r w:rsidR="00A43C54" w:rsidRPr="009060C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uestions</w:t>
      </w:r>
    </w:p>
    <w:p w14:paraId="5FC76441" w14:textId="7F5DEFDF" w:rsidR="00904CD3" w:rsidRPr="009060C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5A9842E" w14:textId="1522229F" w:rsidR="00736166" w:rsidRPr="009060C9" w:rsidRDefault="006204BB" w:rsidP="00736166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lang w:val="en-GB"/>
        </w:rPr>
      </w:pPr>
      <w:r w:rsidRPr="009060C9">
        <w:rPr>
          <w:rFonts w:asciiTheme="minorHAnsi" w:hAnsiTheme="minorHAnsi" w:cstheme="minorHAnsi"/>
          <w:b/>
          <w:lang w:val="en-GB"/>
        </w:rPr>
        <w:t>6</w:t>
      </w:r>
      <w:r w:rsidR="000002E6" w:rsidRPr="009060C9">
        <w:rPr>
          <w:rFonts w:asciiTheme="minorHAnsi" w:hAnsiTheme="minorHAnsi" w:cstheme="minorHAnsi"/>
          <w:b/>
          <w:lang w:val="en-GB"/>
        </w:rPr>
        <w:t>.</w:t>
      </w:r>
      <w:r w:rsidR="00B57E24" w:rsidRPr="009060C9">
        <w:rPr>
          <w:rFonts w:asciiTheme="minorHAnsi" w:hAnsiTheme="minorHAnsi" w:cstheme="minorHAnsi"/>
          <w:b/>
          <w:lang w:val="en-GB"/>
        </w:rPr>
        <w:t>3</w:t>
      </w:r>
      <w:r w:rsidR="00D26BC8" w:rsidRPr="009060C9">
        <w:rPr>
          <w:rFonts w:asciiTheme="minorHAnsi" w:hAnsiTheme="minorHAnsi" w:cstheme="minorHAnsi"/>
          <w:b/>
          <w:lang w:val="en-GB"/>
        </w:rPr>
        <w:t>.</w:t>
      </w:r>
      <w:r w:rsidR="000002E6" w:rsidRPr="009060C9">
        <w:rPr>
          <w:rFonts w:asciiTheme="minorHAnsi" w:hAnsiTheme="minorHAnsi" w:cstheme="minorHAnsi"/>
          <w:b/>
          <w:lang w:val="en-GB"/>
        </w:rPr>
        <w:t xml:space="preserve"> </w:t>
      </w:r>
      <w:r w:rsidR="00B57E24" w:rsidRPr="009060C9">
        <w:rPr>
          <w:rFonts w:asciiTheme="minorHAnsi" w:hAnsiTheme="minorHAnsi" w:cstheme="minorHAnsi"/>
          <w:b/>
          <w:lang w:val="en-GB"/>
        </w:rPr>
        <w:t>Medical treatment and triage</w:t>
      </w:r>
    </w:p>
    <w:p w14:paraId="18AC4BEF" w14:textId="1C04F327" w:rsidR="00544767" w:rsidRPr="009060C9" w:rsidRDefault="00544767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04F0DABD" w14:textId="6C260D3A" w:rsidR="00B77BFD" w:rsidRPr="009060C9" w:rsidRDefault="00B77BFD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bCs/>
          <w:lang w:val="en-GB"/>
        </w:rPr>
        <w:t>Open ended questions:</w:t>
      </w:r>
    </w:p>
    <w:p w14:paraId="0AD664CE" w14:textId="77777777" w:rsidR="00B77BFD" w:rsidRPr="009060C9" w:rsidRDefault="00B77BFD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51268B63" w14:textId="5F4BBAEA" w:rsidR="00B57E24" w:rsidRPr="009060C9" w:rsidRDefault="00B57E24" w:rsidP="00B77BFD">
      <w:pPr>
        <w:pStyle w:val="ListParagraph"/>
        <w:numPr>
          <w:ilvl w:val="0"/>
          <w:numId w:val="1"/>
        </w:numPr>
        <w:spacing w:after="160" w:line="259" w:lineRule="auto"/>
        <w:rPr>
          <w:lang w:val="en-GB"/>
        </w:rPr>
      </w:pPr>
      <w:r w:rsidRPr="009060C9">
        <w:rPr>
          <w:u w:val="single"/>
          <w:lang w:val="en-GB"/>
        </w:rPr>
        <w:t>What are the common disaster triage categories</w:t>
      </w:r>
      <w:r w:rsidR="008F57B1" w:rsidRPr="009060C9">
        <w:rPr>
          <w:u w:val="single"/>
          <w:lang w:val="en-GB"/>
        </w:rPr>
        <w:t>?</w:t>
      </w:r>
    </w:p>
    <w:p w14:paraId="0A151B1E" w14:textId="106B1A87" w:rsidR="00B57E24" w:rsidRPr="009060C9" w:rsidRDefault="00B57E24" w:rsidP="00B57E24">
      <w:pPr>
        <w:ind w:firstLine="360"/>
        <w:rPr>
          <w:rFonts w:asciiTheme="minorHAnsi" w:eastAsia="Calibri" w:hAnsiTheme="minorHAnsi" w:cstheme="minorHAnsi"/>
          <w:color w:val="FF0000"/>
          <w:sz w:val="22"/>
          <w:szCs w:val="22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  <w:lang w:val="en-GB"/>
        </w:rPr>
        <w:t>[Answer]</w:t>
      </w:r>
      <w:r w:rsidRPr="009060C9">
        <w:rPr>
          <w:rFonts w:asciiTheme="minorHAnsi" w:eastAsia="Calibri" w:hAnsiTheme="minorHAnsi" w:cstheme="minorHAnsi"/>
          <w:color w:val="FF0000"/>
          <w:sz w:val="22"/>
          <w:szCs w:val="22"/>
          <w:lang w:val="en-GB"/>
        </w:rPr>
        <w:t xml:space="preserve"> </w:t>
      </w:r>
      <w:r w:rsidRPr="009060C9">
        <w:rPr>
          <w:rFonts w:asciiTheme="minorHAnsi" w:eastAsia="Calibri" w:hAnsiTheme="minorHAnsi" w:cstheme="minorHAnsi"/>
          <w:color w:val="FF0000"/>
          <w:sz w:val="22"/>
          <w:szCs w:val="22"/>
          <w:lang w:val="en-GB"/>
        </w:rPr>
        <w:tab/>
      </w:r>
    </w:p>
    <w:p w14:paraId="593F5D2A" w14:textId="7702ABB4" w:rsidR="008F57B1" w:rsidRPr="009060C9" w:rsidRDefault="008F57B1" w:rsidP="008F57B1">
      <w:pPr>
        <w:pStyle w:val="NoSpacing"/>
        <w:ind w:left="360"/>
      </w:pPr>
      <w:r w:rsidRPr="009060C9">
        <w:rPr>
          <w:b/>
          <w:bCs/>
        </w:rPr>
        <w:t>Immediate</w:t>
      </w:r>
      <w:r w:rsidRPr="009060C9">
        <w:t xml:space="preserve"> (critical): patients requiring emergency life-saving treatment</w:t>
      </w:r>
    </w:p>
    <w:p w14:paraId="06987F00" w14:textId="5B03419B" w:rsidR="008F57B1" w:rsidRPr="009060C9" w:rsidRDefault="008F57B1" w:rsidP="008F57B1">
      <w:pPr>
        <w:pStyle w:val="NoSpacing"/>
        <w:ind w:left="360"/>
      </w:pPr>
      <w:r w:rsidRPr="009060C9">
        <w:rPr>
          <w:b/>
          <w:bCs/>
        </w:rPr>
        <w:t>Delayed</w:t>
      </w:r>
      <w:r w:rsidRPr="009060C9">
        <w:t xml:space="preserve"> (urgent): delay in medical treatment permitted (patient generally not able to walk)</w:t>
      </w:r>
    </w:p>
    <w:p w14:paraId="5331F5FF" w14:textId="47F7AA4D" w:rsidR="008F57B1" w:rsidRPr="009060C9" w:rsidRDefault="008F57B1" w:rsidP="008F57B1">
      <w:pPr>
        <w:pStyle w:val="NoSpacing"/>
        <w:ind w:left="360"/>
      </w:pPr>
      <w:r w:rsidRPr="009060C9">
        <w:rPr>
          <w:b/>
          <w:bCs/>
        </w:rPr>
        <w:t>Minimal</w:t>
      </w:r>
      <w:r w:rsidRPr="009060C9">
        <w:t xml:space="preserve"> (ambulatory): relatively minor signs and symptoms, patient able to walk independently </w:t>
      </w:r>
    </w:p>
    <w:p w14:paraId="66BE1228" w14:textId="52D45ECF" w:rsidR="00B57E24" w:rsidRPr="009060C9" w:rsidRDefault="008F57B1" w:rsidP="008F57B1">
      <w:pPr>
        <w:pStyle w:val="NoSpacing"/>
        <w:ind w:left="360"/>
      </w:pPr>
      <w:r w:rsidRPr="009060C9">
        <w:rPr>
          <w:b/>
          <w:bCs/>
        </w:rPr>
        <w:t>Dead:</w:t>
      </w:r>
      <w:r w:rsidRPr="009060C9">
        <w:t xml:space="preserve"> patient lacks vital life signs and not responsive to stimuli </w:t>
      </w:r>
    </w:p>
    <w:p w14:paraId="24CB7494" w14:textId="77777777" w:rsidR="00B57E24" w:rsidRPr="009060C9" w:rsidRDefault="00B57E24" w:rsidP="00B57E24">
      <w:pPr>
        <w:rPr>
          <w:lang w:val="en-GB"/>
        </w:rPr>
      </w:pPr>
    </w:p>
    <w:p w14:paraId="2C4428C2" w14:textId="22B57972" w:rsidR="00B57E24" w:rsidRPr="009060C9" w:rsidRDefault="008F57B1" w:rsidP="00B77BFD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Which victims have the highest priority at decontamination triage</w:t>
      </w:r>
      <w:r w:rsidR="00C3561E" w:rsidRPr="009060C9">
        <w:rPr>
          <w:u w:val="single"/>
          <w:lang w:val="en-GB"/>
        </w:rPr>
        <w:t xml:space="preserve"> and why</w:t>
      </w:r>
      <w:r w:rsidRPr="009060C9">
        <w:rPr>
          <w:u w:val="single"/>
          <w:lang w:val="en-GB"/>
        </w:rPr>
        <w:t>?</w:t>
      </w:r>
    </w:p>
    <w:p w14:paraId="485BB483" w14:textId="77777777" w:rsidR="00B57E24" w:rsidRPr="009060C9" w:rsidRDefault="00B57E24" w:rsidP="00B57E24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 w:rsidRPr="009060C9">
        <w:rPr>
          <w:rFonts w:asciiTheme="minorHAnsi" w:eastAsia="Calibri" w:hAnsiTheme="minorHAnsi" w:cstheme="minorHAnsi"/>
          <w:color w:val="FF0000"/>
          <w:lang w:val="en-GB"/>
        </w:rPr>
        <w:t xml:space="preserve"> </w:t>
      </w:r>
    </w:p>
    <w:p w14:paraId="19CDDC97" w14:textId="6B830BE4" w:rsidR="00B57E24" w:rsidRPr="009060C9" w:rsidRDefault="008F57B1" w:rsidP="00C3561E">
      <w:pPr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Ambulatory </w:t>
      </w:r>
      <w:r w:rsidR="00CD0E05"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(minimal) </w:t>
      </w:r>
      <w:r w:rsidRPr="009060C9">
        <w:rPr>
          <w:rFonts w:asciiTheme="minorHAnsi" w:hAnsiTheme="minorHAnsi" w:cstheme="minorHAnsi"/>
          <w:sz w:val="22"/>
          <w:szCs w:val="22"/>
          <w:lang w:val="en-GB"/>
        </w:rPr>
        <w:t>victims who are symptomatic</w:t>
      </w:r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 have the highest priority at decontamination triage, because they can </w:t>
      </w:r>
      <w:r w:rsidRPr="009060C9">
        <w:rPr>
          <w:rFonts w:asciiTheme="minorHAnsi" w:hAnsiTheme="minorHAnsi" w:cstheme="minorHAnsi"/>
          <w:sz w:val="22"/>
          <w:szCs w:val="22"/>
          <w:lang w:val="en-GB"/>
        </w:rPr>
        <w:t>follow simple directions</w:t>
      </w:r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>, are e</w:t>
      </w:r>
      <w:r w:rsidRPr="009060C9">
        <w:rPr>
          <w:rFonts w:asciiTheme="minorHAnsi" w:hAnsiTheme="minorHAnsi" w:cstheme="minorHAnsi"/>
          <w:sz w:val="22"/>
          <w:szCs w:val="22"/>
          <w:lang w:val="en-GB"/>
        </w:rPr>
        <w:t>asiest to decontaminate</w:t>
      </w:r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 and are showing symptoms.</w:t>
      </w:r>
    </w:p>
    <w:p w14:paraId="09944D4C" w14:textId="77777777" w:rsidR="00B57E24" w:rsidRPr="009060C9" w:rsidRDefault="00B57E24" w:rsidP="00B57E24">
      <w:pPr>
        <w:rPr>
          <w:lang w:val="en-GB"/>
        </w:rPr>
      </w:pPr>
    </w:p>
    <w:p w14:paraId="196623AE" w14:textId="654AA4F3" w:rsidR="00B57E24" w:rsidRPr="009060C9" w:rsidRDefault="00B62680" w:rsidP="00BD0558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What are life-</w:t>
      </w:r>
      <w:r w:rsidR="00C3561E" w:rsidRPr="009060C9">
        <w:rPr>
          <w:u w:val="single"/>
          <w:lang w:val="en-GB"/>
        </w:rPr>
        <w:t>saving treatments for victims exposed to chemical agents</w:t>
      </w:r>
      <w:r w:rsidR="00B57E24" w:rsidRPr="009060C9">
        <w:rPr>
          <w:u w:val="single"/>
          <w:lang w:val="en-GB"/>
        </w:rPr>
        <w:t>?</w:t>
      </w:r>
    </w:p>
    <w:p w14:paraId="75EF3B16" w14:textId="77777777" w:rsidR="00B57E24" w:rsidRPr="009060C9" w:rsidRDefault="00B57E24" w:rsidP="00B57E24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 w:rsidRPr="009060C9">
        <w:rPr>
          <w:rFonts w:asciiTheme="minorHAnsi" w:eastAsia="Calibri" w:hAnsiTheme="minorHAnsi" w:cstheme="minorHAnsi"/>
          <w:color w:val="FF0000"/>
          <w:lang w:val="en-GB"/>
        </w:rPr>
        <w:t xml:space="preserve"> </w:t>
      </w:r>
    </w:p>
    <w:p w14:paraId="2CE53356" w14:textId="0C62F3A2" w:rsidR="00C3561E" w:rsidRPr="009060C9" w:rsidRDefault="00B62680" w:rsidP="009060C9">
      <w:pPr>
        <w:tabs>
          <w:tab w:val="left" w:pos="1101"/>
        </w:tabs>
        <w:spacing w:after="10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Life-</w:t>
      </w:r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>saving treatment includes:</w:t>
      </w:r>
    </w:p>
    <w:p w14:paraId="6FEF23DC" w14:textId="77777777" w:rsidR="00C3561E" w:rsidRPr="009060C9" w:rsidRDefault="00C3561E" w:rsidP="00B77BFD">
      <w:pPr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General supportive treatment</w:t>
      </w:r>
    </w:p>
    <w:p w14:paraId="443FA2E9" w14:textId="77777777" w:rsidR="00C3561E" w:rsidRPr="009060C9" w:rsidRDefault="00C3561E" w:rsidP="00B77BFD">
      <w:pPr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Oxygen, bronchodilation (e.g. chlorine gas)</w:t>
      </w:r>
    </w:p>
    <w:p w14:paraId="5859A560" w14:textId="480A928E" w:rsidR="00C3561E" w:rsidRPr="009060C9" w:rsidRDefault="00B62680" w:rsidP="00B77BFD">
      <w:pPr>
        <w:numPr>
          <w:ilvl w:val="0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Antidotes (may be life-</w:t>
      </w:r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>saving)</w:t>
      </w:r>
      <w:r w:rsidR="00C8158D"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="00C8158D" w:rsidRPr="009060C9">
        <w:rPr>
          <w:rFonts w:asciiTheme="minorHAnsi" w:hAnsiTheme="minorHAnsi" w:cstheme="minorHAnsi"/>
          <w:sz w:val="22"/>
          <w:szCs w:val="22"/>
          <w:lang w:val="en-GB"/>
        </w:rPr>
        <w:t>eg</w:t>
      </w:r>
      <w:proofErr w:type="spellEnd"/>
      <w:r w:rsidR="00C3561E" w:rsidRPr="009060C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022A40D3" w14:textId="7EE18AEC" w:rsidR="00C3561E" w:rsidRPr="009060C9" w:rsidRDefault="00C3561E" w:rsidP="00B77BFD">
      <w:pPr>
        <w:numPr>
          <w:ilvl w:val="1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lastRenderedPageBreak/>
        <w:t>Nerve agents/organophosphates: atropine, oxime in autoinjector (diazepam if seizures).</w:t>
      </w:r>
    </w:p>
    <w:p w14:paraId="2A05962D" w14:textId="2D9B8422" w:rsidR="00C3561E" w:rsidRPr="009060C9" w:rsidRDefault="00C3561E" w:rsidP="00B77BFD">
      <w:pPr>
        <w:numPr>
          <w:ilvl w:val="1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Cyanide: hydroxocobalamin or sodium thiosulfate</w:t>
      </w:r>
    </w:p>
    <w:p w14:paraId="17CBC216" w14:textId="77777777" w:rsidR="00C8158D" w:rsidRPr="009060C9" w:rsidRDefault="00C3561E" w:rsidP="00B77BFD">
      <w:pPr>
        <w:numPr>
          <w:ilvl w:val="1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  <w:lang w:val="en-GB"/>
        </w:rPr>
      </w:pPr>
      <w:proofErr w:type="spellStart"/>
      <w:r w:rsidRPr="009060C9">
        <w:rPr>
          <w:rFonts w:asciiTheme="minorHAnsi" w:hAnsiTheme="minorHAnsi" w:cstheme="minorHAnsi"/>
          <w:sz w:val="22"/>
          <w:szCs w:val="22"/>
          <w:lang w:val="en-GB"/>
        </w:rPr>
        <w:t>Opioides</w:t>
      </w:r>
      <w:proofErr w:type="spellEnd"/>
      <w:r w:rsidRPr="009060C9">
        <w:rPr>
          <w:rFonts w:asciiTheme="minorHAnsi" w:hAnsiTheme="minorHAnsi" w:cstheme="minorHAnsi"/>
          <w:sz w:val="22"/>
          <w:szCs w:val="22"/>
          <w:lang w:val="en-GB"/>
        </w:rPr>
        <w:t xml:space="preserve"> : naloxone</w:t>
      </w:r>
    </w:p>
    <w:p w14:paraId="16C92979" w14:textId="644496A5" w:rsidR="00EF2943" w:rsidRPr="009060C9" w:rsidRDefault="00C3561E" w:rsidP="00B77BFD">
      <w:pPr>
        <w:numPr>
          <w:ilvl w:val="1"/>
          <w:numId w:val="2"/>
        </w:numPr>
        <w:tabs>
          <w:tab w:val="left" w:pos="1101"/>
        </w:tabs>
        <w:spacing w:after="10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Methanol: fomepizole (or ethanol)</w:t>
      </w:r>
    </w:p>
    <w:p w14:paraId="36542DE1" w14:textId="77777777" w:rsidR="00C8158D" w:rsidRPr="009060C9" w:rsidRDefault="00C8158D" w:rsidP="00C8158D">
      <w:pPr>
        <w:tabs>
          <w:tab w:val="left" w:pos="1101"/>
        </w:tabs>
        <w:spacing w:after="100"/>
        <w:ind w:left="1440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2EE5A5B7" w14:textId="35E36E90" w:rsidR="00C8158D" w:rsidRPr="009060C9" w:rsidRDefault="000165A8" w:rsidP="00BD0558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 w:rsidRPr="009060C9">
        <w:rPr>
          <w:u w:val="single"/>
          <w:lang w:val="en-GB"/>
        </w:rPr>
        <w:t>What is the most common treatment of biological agents</w:t>
      </w:r>
      <w:r w:rsidR="00C8158D" w:rsidRPr="009060C9">
        <w:rPr>
          <w:u w:val="single"/>
          <w:lang w:val="en-GB"/>
        </w:rPr>
        <w:t>?</w:t>
      </w:r>
    </w:p>
    <w:p w14:paraId="3B1318E6" w14:textId="77777777" w:rsidR="00C8158D" w:rsidRPr="009060C9" w:rsidRDefault="00C8158D" w:rsidP="00C8158D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 w:rsidRPr="009060C9">
        <w:rPr>
          <w:rFonts w:asciiTheme="minorHAnsi" w:eastAsia="Calibri" w:hAnsiTheme="minorHAnsi" w:cstheme="minorHAnsi"/>
          <w:color w:val="FF0000"/>
          <w:lang w:val="en-GB"/>
        </w:rPr>
        <w:t xml:space="preserve"> </w:t>
      </w:r>
    </w:p>
    <w:p w14:paraId="3704F1EC" w14:textId="77777777" w:rsidR="000165A8" w:rsidRPr="009060C9" w:rsidRDefault="000165A8" w:rsidP="000165A8">
      <w:pPr>
        <w:tabs>
          <w:tab w:val="left" w:pos="1101"/>
        </w:tabs>
        <w:spacing w:after="10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9060C9">
        <w:rPr>
          <w:rFonts w:asciiTheme="minorHAnsi" w:hAnsiTheme="minorHAnsi" w:cstheme="minorHAnsi"/>
          <w:sz w:val="22"/>
          <w:szCs w:val="22"/>
          <w:lang w:val="en-GB"/>
        </w:rPr>
        <w:t>The general treatment of victims of biological agents is based on administrating antibiotics for bacterial agents. In case of viral agents, antiviral drugs are administrated and in case of toxins, a victim can be treated with antitoxin.</w:t>
      </w:r>
    </w:p>
    <w:p w14:paraId="490FAA8F" w14:textId="790F1C38" w:rsidR="000165A8" w:rsidRPr="009060C9" w:rsidRDefault="000165A8" w:rsidP="000165A8">
      <w:pPr>
        <w:tabs>
          <w:tab w:val="left" w:pos="1101"/>
        </w:tabs>
        <w:spacing w:after="100"/>
        <w:ind w:left="360"/>
        <w:rPr>
          <w:rFonts w:asciiTheme="minorHAnsi" w:hAnsiTheme="minorHAnsi" w:cstheme="minorHAnsi"/>
          <w:sz w:val="22"/>
          <w:szCs w:val="22"/>
          <w:lang w:val="en-GB"/>
        </w:rPr>
      </w:pPr>
    </w:p>
    <w:p w14:paraId="53BA7C3D" w14:textId="601A3CC0" w:rsidR="000165A8" w:rsidRPr="009060C9" w:rsidRDefault="00185A61" w:rsidP="00B77BFD">
      <w:pPr>
        <w:pStyle w:val="ListParagraph"/>
        <w:numPr>
          <w:ilvl w:val="0"/>
          <w:numId w:val="1"/>
        </w:numPr>
        <w:spacing w:after="160" w:line="259" w:lineRule="auto"/>
        <w:rPr>
          <w:u w:val="single"/>
          <w:lang w:val="en-GB"/>
        </w:rPr>
      </w:pPr>
      <w:r>
        <w:rPr>
          <w:u w:val="single"/>
          <w:lang w:val="en-GB"/>
        </w:rPr>
        <w:t>What are</w:t>
      </w:r>
      <w:r w:rsidR="000165A8" w:rsidRPr="009060C9">
        <w:rPr>
          <w:u w:val="single"/>
          <w:lang w:val="en-GB"/>
        </w:rPr>
        <w:t xml:space="preserve"> treatment</w:t>
      </w:r>
      <w:r>
        <w:rPr>
          <w:u w:val="single"/>
          <w:lang w:val="en-GB"/>
        </w:rPr>
        <w:t xml:space="preserve"> options for patients </w:t>
      </w:r>
      <w:r w:rsidR="00075E01">
        <w:rPr>
          <w:u w:val="single"/>
          <w:lang w:val="en-GB"/>
        </w:rPr>
        <w:t>exposed to</w:t>
      </w:r>
      <w:r>
        <w:rPr>
          <w:u w:val="single"/>
          <w:lang w:val="en-GB"/>
        </w:rPr>
        <w:t xml:space="preserve"> external radiation</w:t>
      </w:r>
      <w:r w:rsidR="000165A8" w:rsidRPr="009060C9">
        <w:rPr>
          <w:u w:val="single"/>
          <w:lang w:val="en-GB"/>
        </w:rPr>
        <w:t>?</w:t>
      </w:r>
    </w:p>
    <w:p w14:paraId="3F2EBF3F" w14:textId="77777777" w:rsidR="000165A8" w:rsidRPr="009060C9" w:rsidRDefault="000165A8" w:rsidP="000165A8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 w:rsidRPr="009060C9">
        <w:rPr>
          <w:rFonts w:asciiTheme="minorHAnsi" w:eastAsia="Calibri" w:hAnsiTheme="minorHAnsi" w:cstheme="minorHAnsi"/>
          <w:color w:val="FF0000"/>
          <w:lang w:val="en-GB"/>
        </w:rPr>
        <w:t xml:space="preserve"> </w:t>
      </w:r>
    </w:p>
    <w:p w14:paraId="246323C7" w14:textId="4A340FB5" w:rsidR="000165A8" w:rsidRPr="009060C9" w:rsidRDefault="00185A61" w:rsidP="00185A61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185A61">
        <w:rPr>
          <w:rFonts w:asciiTheme="minorHAnsi" w:hAnsiTheme="minorHAnsi" w:cstheme="minorHAnsi"/>
          <w:sz w:val="22"/>
          <w:szCs w:val="22"/>
          <w:lang w:val="en-GB"/>
        </w:rPr>
        <w:t xml:space="preserve">All treatment options are focused on supporting the normal functioning of the body. </w:t>
      </w:r>
      <w:r>
        <w:rPr>
          <w:rFonts w:asciiTheme="minorHAnsi" w:hAnsiTheme="minorHAnsi" w:cstheme="minorHAnsi"/>
          <w:sz w:val="22"/>
          <w:szCs w:val="22"/>
          <w:lang w:val="en-GB"/>
        </w:rPr>
        <w:t>Supportive care includes treatment with c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ytokines</w:t>
      </w:r>
      <w:r>
        <w:rPr>
          <w:rFonts w:asciiTheme="minorHAnsi" w:hAnsiTheme="minorHAnsi" w:cstheme="minorHAnsi"/>
          <w:sz w:val="22"/>
          <w:szCs w:val="22"/>
          <w:lang w:val="en-GB"/>
        </w:rPr>
        <w:t>, b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lood transfusions</w:t>
      </w:r>
      <w:r>
        <w:rPr>
          <w:rFonts w:asciiTheme="minorHAnsi" w:hAnsiTheme="minorHAnsi" w:cstheme="minorHAnsi"/>
          <w:sz w:val="22"/>
          <w:szCs w:val="22"/>
          <w:lang w:val="en-GB"/>
        </w:rPr>
        <w:t>, s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tem cell transplantation</w:t>
      </w:r>
      <w:r>
        <w:rPr>
          <w:rFonts w:asciiTheme="minorHAnsi" w:hAnsiTheme="minorHAnsi" w:cstheme="minorHAnsi"/>
          <w:sz w:val="22"/>
          <w:szCs w:val="22"/>
          <w:lang w:val="en-GB"/>
        </w:rPr>
        <w:t>, t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reating infections with antimicrobials</w:t>
      </w:r>
      <w:r>
        <w:rPr>
          <w:rFonts w:asciiTheme="minorHAnsi" w:hAnsiTheme="minorHAnsi" w:cstheme="minorHAnsi"/>
          <w:sz w:val="22"/>
          <w:szCs w:val="22"/>
          <w:lang w:val="en-GB"/>
        </w:rPr>
        <w:t>, l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ocal skin injuries and burn treatment</w:t>
      </w:r>
      <w:r>
        <w:rPr>
          <w:rFonts w:asciiTheme="minorHAnsi" w:hAnsiTheme="minorHAnsi" w:cstheme="minorHAnsi"/>
          <w:sz w:val="22"/>
          <w:szCs w:val="22"/>
          <w:lang w:val="en-GB"/>
        </w:rPr>
        <w:t>, and a</w:t>
      </w:r>
      <w:r w:rsidRPr="00185A61">
        <w:rPr>
          <w:rFonts w:asciiTheme="minorHAnsi" w:hAnsiTheme="minorHAnsi" w:cstheme="minorHAnsi"/>
          <w:sz w:val="22"/>
          <w:szCs w:val="22"/>
          <w:lang w:val="en-GB"/>
        </w:rPr>
        <w:t>nti-inflammatory therapy with corticosteroids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7B7E9CD" w14:textId="016C30ED" w:rsidR="000165A8" w:rsidRPr="009060C9" w:rsidRDefault="000165A8" w:rsidP="000165A8">
      <w:pPr>
        <w:spacing w:after="160" w:line="259" w:lineRule="auto"/>
        <w:ind w:left="360"/>
        <w:rPr>
          <w:u w:val="single"/>
          <w:lang w:val="en-GB"/>
        </w:rPr>
      </w:pPr>
    </w:p>
    <w:p w14:paraId="4A2E2223" w14:textId="5DE5FAB1" w:rsidR="00B77BFD" w:rsidRPr="000027B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0027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Multiple choice questions</w:t>
      </w:r>
    </w:p>
    <w:p w14:paraId="5ADFF3F2" w14:textId="77777777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6E07327" w14:textId="5ACF398E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60C9">
        <w:rPr>
          <w:rFonts w:asciiTheme="minorHAnsi" w:hAnsiTheme="minorHAnsi" w:cstheme="minorHAnsi"/>
          <w:sz w:val="22"/>
          <w:szCs w:val="22"/>
          <w:lang w:eastAsia="en-US"/>
        </w:rPr>
        <w:t>Instruction: Please circle one correct answer.</w:t>
      </w:r>
    </w:p>
    <w:p w14:paraId="4BAE8239" w14:textId="77777777" w:rsidR="00B77BFD" w:rsidRPr="009060C9" w:rsidRDefault="00B77BFD" w:rsidP="00B77BFD">
      <w:pPr>
        <w:pStyle w:val="identification"/>
        <w:framePr w:hSpace="0" w:vSpace="0" w:wrap="auto" w:vAnchor="margin" w:yAlign="inline"/>
        <w:ind w:left="0" w:firstLine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C6A37F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What does the term “TRIAGE” mean? </w:t>
      </w:r>
    </w:p>
    <w:p w14:paraId="05BDED25" w14:textId="7CF7E84B" w:rsidR="00075E01" w:rsidRPr="009060C9" w:rsidRDefault="00075E01" w:rsidP="00075E01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 w:rsidRPr="00075E01">
        <w:rPr>
          <w:rFonts w:asciiTheme="minorHAnsi" w:eastAsia="Calibri" w:hAnsiTheme="minorHAnsi" w:cstheme="minorHAnsi"/>
          <w:b/>
          <w:bCs/>
          <w:lang w:val="en-GB"/>
        </w:rPr>
        <w:t>D</w:t>
      </w:r>
    </w:p>
    <w:p w14:paraId="658A4D22" w14:textId="77777777" w:rsidR="00075E01" w:rsidRPr="009060C9" w:rsidRDefault="00075E01" w:rsidP="00BD0558">
      <w:pPr>
        <w:pStyle w:val="NoSpacing"/>
        <w:spacing w:after="100"/>
        <w:ind w:left="1080"/>
        <w:rPr>
          <w:rFonts w:asciiTheme="minorHAnsi" w:eastAsia="Times New Roman" w:hAnsiTheme="minorHAnsi" w:cstheme="minorHAnsi"/>
        </w:rPr>
      </w:pPr>
    </w:p>
    <w:p w14:paraId="42BBBD23" w14:textId="79725E18" w:rsidR="00B77BFD" w:rsidRPr="009060C9" w:rsidRDefault="003C773F" w:rsidP="003C773F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in Triage, which type of patient does t</w:t>
      </w:r>
      <w:r w:rsidR="00B77BFD" w:rsidRPr="009060C9">
        <w:rPr>
          <w:rFonts w:asciiTheme="minorHAnsi" w:eastAsia="Times New Roman" w:hAnsiTheme="minorHAnsi" w:cstheme="minorHAnsi"/>
        </w:rPr>
        <w:t>he colour Red signif</w:t>
      </w:r>
      <w:r w:rsidRPr="009060C9">
        <w:rPr>
          <w:rFonts w:asciiTheme="minorHAnsi" w:eastAsia="Times New Roman" w:hAnsiTheme="minorHAnsi" w:cstheme="minorHAnsi"/>
        </w:rPr>
        <w:t>y</w:t>
      </w:r>
      <w:r w:rsidR="00B77BFD" w:rsidRPr="009060C9">
        <w:rPr>
          <w:rFonts w:asciiTheme="minorHAnsi" w:eastAsia="Times New Roman" w:hAnsiTheme="minorHAnsi" w:cstheme="minorHAnsi"/>
        </w:rPr>
        <w:t xml:space="preserve">? </w:t>
      </w:r>
    </w:p>
    <w:p w14:paraId="0A3CF929" w14:textId="13FF8CEF" w:rsidR="00075E01" w:rsidRPr="009060C9" w:rsidRDefault="00075E01" w:rsidP="00075E01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76082F97" w14:textId="77777777" w:rsidR="00B77BFD" w:rsidRPr="00075E01" w:rsidRDefault="00B77BFD" w:rsidP="00075E01">
      <w:pPr>
        <w:spacing w:after="100"/>
        <w:rPr>
          <w:rFonts w:asciiTheme="minorHAnsi" w:hAnsiTheme="minorHAnsi" w:cstheme="minorHAnsi"/>
          <w:lang w:val="en-GB"/>
        </w:rPr>
      </w:pPr>
    </w:p>
    <w:p w14:paraId="3316A84C" w14:textId="0CCD1EEA" w:rsidR="00B77BFD" w:rsidRPr="009060C9" w:rsidRDefault="003C773F" w:rsidP="003C773F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In Triage, which type of patient does t</w:t>
      </w:r>
      <w:r w:rsidR="00B77BFD" w:rsidRPr="009060C9">
        <w:rPr>
          <w:rFonts w:asciiTheme="minorHAnsi" w:eastAsia="Times New Roman" w:hAnsiTheme="minorHAnsi" w:cstheme="minorHAnsi"/>
        </w:rPr>
        <w:t>he colour Yellow signif</w:t>
      </w:r>
      <w:r w:rsidRPr="009060C9">
        <w:rPr>
          <w:rFonts w:asciiTheme="minorHAnsi" w:eastAsia="Times New Roman" w:hAnsiTheme="minorHAnsi" w:cstheme="minorHAnsi"/>
        </w:rPr>
        <w:t>y</w:t>
      </w:r>
      <w:r w:rsidR="00B77BFD" w:rsidRPr="009060C9">
        <w:rPr>
          <w:rFonts w:asciiTheme="minorHAnsi" w:eastAsia="Times New Roman" w:hAnsiTheme="minorHAnsi" w:cstheme="minorHAnsi"/>
        </w:rPr>
        <w:t xml:space="preserve">? </w:t>
      </w:r>
    </w:p>
    <w:p w14:paraId="33FE7A2A" w14:textId="271F3885" w:rsidR="00075E01" w:rsidRPr="009060C9" w:rsidRDefault="00075E01" w:rsidP="00075E01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2D585152" w14:textId="77777777" w:rsidR="00B77BFD" w:rsidRPr="009060C9" w:rsidRDefault="00B77BFD" w:rsidP="00B77BFD">
      <w:pPr>
        <w:pStyle w:val="PlainText"/>
        <w:jc w:val="both"/>
        <w:rPr>
          <w:rFonts w:asciiTheme="minorHAnsi" w:eastAsia="Times New Roman" w:hAnsiTheme="minorHAnsi" w:cstheme="minorHAnsi"/>
          <w:szCs w:val="22"/>
          <w:lang w:val="en-GB"/>
        </w:rPr>
      </w:pPr>
    </w:p>
    <w:p w14:paraId="30347B46" w14:textId="3427B3B3" w:rsidR="00B77BFD" w:rsidRPr="009060C9" w:rsidRDefault="00B77BFD" w:rsidP="003C773F">
      <w:pPr>
        <w:pStyle w:val="PlainText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The victims with ability to walk and </w:t>
      </w:r>
      <w:r w:rsidR="003C773F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understand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command</w:t>
      </w:r>
      <w:r w:rsidR="003C773F" w:rsidRPr="009060C9">
        <w:rPr>
          <w:rFonts w:asciiTheme="minorHAnsi" w:eastAsia="Times New Roman" w:hAnsiTheme="minorHAnsi" w:cstheme="minorHAnsi"/>
          <w:szCs w:val="22"/>
          <w:lang w:val="en-GB"/>
        </w:rPr>
        <w:t>s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belong to which triage category group?</w:t>
      </w:r>
    </w:p>
    <w:p w14:paraId="46126EE3" w14:textId="73C81E4C" w:rsidR="00075E01" w:rsidRPr="009060C9" w:rsidRDefault="00075E01" w:rsidP="00075E01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C</w:t>
      </w:r>
    </w:p>
    <w:p w14:paraId="2CD199DF" w14:textId="05FAC0E5" w:rsidR="00B77BFD" w:rsidRDefault="00B77BFD" w:rsidP="00075E01">
      <w:pPr>
        <w:pStyle w:val="PlainText"/>
        <w:rPr>
          <w:rFonts w:asciiTheme="minorHAnsi" w:eastAsia="Times New Roman" w:hAnsiTheme="minorHAnsi" w:cstheme="minorHAnsi"/>
          <w:szCs w:val="22"/>
          <w:lang w:val="en-GB"/>
        </w:rPr>
      </w:pPr>
    </w:p>
    <w:p w14:paraId="7FC6C0EB" w14:textId="06E3EC43" w:rsidR="00117E7B" w:rsidRDefault="00117E7B" w:rsidP="00075E01">
      <w:pPr>
        <w:pStyle w:val="PlainText"/>
        <w:rPr>
          <w:rFonts w:asciiTheme="minorHAnsi" w:eastAsia="Times New Roman" w:hAnsiTheme="minorHAnsi" w:cstheme="minorHAnsi"/>
          <w:szCs w:val="22"/>
          <w:lang w:val="en-GB"/>
        </w:rPr>
      </w:pPr>
    </w:p>
    <w:p w14:paraId="70EB879A" w14:textId="77777777" w:rsidR="00117E7B" w:rsidRPr="009060C9" w:rsidRDefault="00117E7B" w:rsidP="00075E01">
      <w:pPr>
        <w:pStyle w:val="PlainText"/>
        <w:rPr>
          <w:rFonts w:asciiTheme="minorHAnsi" w:eastAsia="Times New Roman" w:hAnsiTheme="minorHAnsi" w:cstheme="minorHAnsi"/>
          <w:szCs w:val="22"/>
          <w:lang w:val="en-GB"/>
        </w:rPr>
      </w:pPr>
    </w:p>
    <w:p w14:paraId="0008CBB2" w14:textId="211C6FC5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lastRenderedPageBreak/>
        <w:t xml:space="preserve">A patient marked yellow is </w:t>
      </w:r>
      <w:r w:rsidR="00075E01">
        <w:rPr>
          <w:rFonts w:asciiTheme="minorHAnsi" w:eastAsia="Times New Roman" w:hAnsiTheme="minorHAnsi" w:cstheme="minorHAnsi"/>
        </w:rPr>
        <w:t>less</w:t>
      </w:r>
      <w:r w:rsidRPr="009060C9">
        <w:rPr>
          <w:rFonts w:asciiTheme="minorHAnsi" w:eastAsia="Times New Roman" w:hAnsiTheme="minorHAnsi" w:cstheme="minorHAnsi"/>
        </w:rPr>
        <w:t xml:space="preserve"> urgent than a patient marked? </w:t>
      </w:r>
    </w:p>
    <w:p w14:paraId="2671DAC1" w14:textId="0F1DF145" w:rsidR="00075E01" w:rsidRPr="009060C9" w:rsidRDefault="00075E01" w:rsidP="00075E01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B</w:t>
      </w:r>
    </w:p>
    <w:p w14:paraId="2C7B029A" w14:textId="77777777" w:rsidR="00B77BFD" w:rsidRPr="00C81B3A" w:rsidRDefault="00B77BFD" w:rsidP="00C81B3A">
      <w:pPr>
        <w:tabs>
          <w:tab w:val="left" w:pos="1418"/>
        </w:tabs>
        <w:spacing w:after="100"/>
        <w:rPr>
          <w:rFonts w:asciiTheme="minorHAnsi" w:hAnsiTheme="minorHAnsi" w:cstheme="minorHAnsi"/>
          <w:lang w:val="en-GB"/>
        </w:rPr>
      </w:pPr>
    </w:p>
    <w:p w14:paraId="061FA8FD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>Triage is an effective process done….</w:t>
      </w:r>
    </w:p>
    <w:p w14:paraId="5B529E9E" w14:textId="63907F7B" w:rsidR="00C81B3A" w:rsidRPr="009060C9" w:rsidRDefault="00C81B3A" w:rsidP="00C81B3A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B</w:t>
      </w:r>
    </w:p>
    <w:p w14:paraId="61E41497" w14:textId="77777777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5F6BD80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Triage is needed, when demands exceed available resources? </w:t>
      </w:r>
    </w:p>
    <w:p w14:paraId="225CF785" w14:textId="1C13F29F" w:rsidR="00C81B3A" w:rsidRPr="009060C9" w:rsidRDefault="00C81B3A" w:rsidP="00C81B3A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08EB01D6" w14:textId="3B855F4D" w:rsidR="00B77BFD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6A5E7F0" w14:textId="77777777" w:rsidR="00C81B3A" w:rsidRPr="009060C9" w:rsidRDefault="00C81B3A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3AB2261D" w14:textId="4E352B36" w:rsidR="00B77BFD" w:rsidRPr="009060C9" w:rsidRDefault="00B77BFD" w:rsidP="00B77BFD">
      <w:pPr>
        <w:pStyle w:val="ListParagraph"/>
        <w:numPr>
          <w:ilvl w:val="0"/>
          <w:numId w:val="3"/>
        </w:numPr>
        <w:spacing w:before="60" w:after="10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When performing triage, which</w:t>
      </w:r>
      <w:r w:rsidR="003C773F" w:rsidRPr="009060C9">
        <w:rPr>
          <w:rFonts w:asciiTheme="minorHAnsi" w:eastAsia="Times New Roman" w:hAnsiTheme="minorHAnsi" w:cstheme="minorHAnsi"/>
          <w:lang w:val="en-GB"/>
        </w:rPr>
        <w:t xml:space="preserve"> one</w:t>
      </w:r>
      <w:r w:rsidRPr="009060C9">
        <w:rPr>
          <w:rFonts w:asciiTheme="minorHAnsi" w:eastAsia="Times New Roman" w:hAnsiTheme="minorHAnsi" w:cstheme="minorHAnsi"/>
          <w:lang w:val="en-GB"/>
        </w:rPr>
        <w:t xml:space="preserve"> is the most important?</w:t>
      </w:r>
    </w:p>
    <w:p w14:paraId="25BFA94C" w14:textId="42A5F0B4" w:rsidR="00C81B3A" w:rsidRPr="009060C9" w:rsidRDefault="00C81B3A" w:rsidP="00C81B3A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343C59FC" w14:textId="77777777" w:rsidR="00B77BFD" w:rsidRPr="009060C9" w:rsidRDefault="00B77BFD" w:rsidP="00B77BFD">
      <w:pPr>
        <w:pStyle w:val="ListParagraph"/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A54E7C0" w14:textId="77777777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Triage is executed before victims are treated? </w:t>
      </w:r>
    </w:p>
    <w:p w14:paraId="174F2A83" w14:textId="5B17107F" w:rsidR="00C81B3A" w:rsidRPr="009060C9" w:rsidRDefault="00C81B3A" w:rsidP="00C81B3A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B</w:t>
      </w:r>
    </w:p>
    <w:p w14:paraId="565F0BA9" w14:textId="77777777" w:rsidR="00C81B3A" w:rsidRPr="00C81B3A" w:rsidRDefault="00C81B3A" w:rsidP="00C81B3A">
      <w:pPr>
        <w:spacing w:after="100"/>
        <w:ind w:left="1080"/>
        <w:rPr>
          <w:rFonts w:asciiTheme="minorHAnsi" w:hAnsiTheme="minorHAnsi" w:cstheme="minorHAnsi"/>
          <w:lang w:val="en-GB"/>
        </w:rPr>
      </w:pPr>
    </w:p>
    <w:p w14:paraId="55DF6FFF" w14:textId="3390C6A4" w:rsidR="00B77BFD" w:rsidRPr="009060C9" w:rsidRDefault="00B77BFD" w:rsidP="00B77BFD">
      <w:pPr>
        <w:pStyle w:val="NoSpacing"/>
        <w:numPr>
          <w:ilvl w:val="0"/>
          <w:numId w:val="3"/>
        </w:numPr>
        <w:spacing w:after="100"/>
        <w:jc w:val="both"/>
        <w:rPr>
          <w:rFonts w:asciiTheme="minorHAnsi" w:eastAsia="Times New Roman" w:hAnsiTheme="minorHAnsi" w:cstheme="minorHAnsi"/>
        </w:rPr>
      </w:pPr>
      <w:r w:rsidRPr="009060C9">
        <w:rPr>
          <w:rFonts w:asciiTheme="minorHAnsi" w:eastAsia="Times New Roman" w:hAnsiTheme="minorHAnsi" w:cstheme="minorHAnsi"/>
        </w:rPr>
        <w:t xml:space="preserve">The atropine is the antidote </w:t>
      </w:r>
      <w:r w:rsidR="00F05658">
        <w:rPr>
          <w:rFonts w:asciiTheme="minorHAnsi" w:eastAsia="Times New Roman" w:hAnsiTheme="minorHAnsi" w:cstheme="minorHAnsi"/>
        </w:rPr>
        <w:t>for</w:t>
      </w:r>
      <w:r w:rsidR="00F05658" w:rsidRPr="009060C9">
        <w:rPr>
          <w:rFonts w:asciiTheme="minorHAnsi" w:eastAsia="Times New Roman" w:hAnsiTheme="minorHAnsi" w:cstheme="minorHAnsi"/>
        </w:rPr>
        <w:t xml:space="preserve"> </w:t>
      </w:r>
      <w:r w:rsidRPr="009060C9">
        <w:rPr>
          <w:rFonts w:asciiTheme="minorHAnsi" w:eastAsia="Times New Roman" w:hAnsiTheme="minorHAnsi" w:cstheme="minorHAnsi"/>
        </w:rPr>
        <w:t xml:space="preserve">which chemical agents: </w:t>
      </w:r>
    </w:p>
    <w:p w14:paraId="4E8A7282" w14:textId="33F30233" w:rsidR="00C81B3A" w:rsidRPr="009060C9" w:rsidRDefault="00C81B3A" w:rsidP="00C81B3A">
      <w:pPr>
        <w:ind w:left="360"/>
        <w:rPr>
          <w:rFonts w:asciiTheme="minorHAnsi" w:eastAsia="Calibri" w:hAnsiTheme="minorHAnsi" w:cstheme="minorHAnsi"/>
          <w:color w:val="FF0000"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69FC4E2E" w14:textId="77777777" w:rsidR="00B77BFD" w:rsidRPr="009060C9" w:rsidRDefault="00B77BFD" w:rsidP="00B77BFD">
      <w:pPr>
        <w:pStyle w:val="ListParagraph"/>
        <w:tabs>
          <w:tab w:val="left" w:pos="1418"/>
        </w:tabs>
        <w:spacing w:after="100"/>
        <w:ind w:left="1080"/>
        <w:rPr>
          <w:rFonts w:asciiTheme="minorHAnsi" w:eastAsia="Times New Roman" w:hAnsiTheme="minorHAnsi" w:cstheme="minorHAnsi"/>
          <w:lang w:val="en-GB"/>
        </w:rPr>
      </w:pPr>
    </w:p>
    <w:p w14:paraId="0F5022B7" w14:textId="6510B4D2" w:rsidR="00B77BFD" w:rsidRPr="009060C9" w:rsidRDefault="001B6859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>
        <w:rPr>
          <w:rFonts w:asciiTheme="minorHAnsi" w:eastAsia="Times New Roman" w:hAnsiTheme="minorHAnsi" w:cstheme="minorHAnsi"/>
          <w:szCs w:val="22"/>
          <w:lang w:val="en-GB"/>
        </w:rPr>
        <w:t xml:space="preserve">Post-exposure prophylaxis 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of anthrax is based on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>administra</w:t>
      </w:r>
      <w:r>
        <w:rPr>
          <w:rFonts w:asciiTheme="minorHAnsi" w:eastAsia="Times New Roman" w:hAnsiTheme="minorHAnsi" w:cstheme="minorHAnsi"/>
          <w:szCs w:val="22"/>
          <w:lang w:val="en-GB"/>
        </w:rPr>
        <w:t>tion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of:</w:t>
      </w:r>
    </w:p>
    <w:p w14:paraId="0CA82650" w14:textId="0B5E8508" w:rsidR="00C81B3A" w:rsidRPr="001B6859" w:rsidRDefault="00C81B3A" w:rsidP="00C81B3A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 w:rsidRPr="001B6859">
        <w:rPr>
          <w:rFonts w:asciiTheme="minorHAnsi" w:eastAsia="Calibri" w:hAnsiTheme="minorHAnsi" w:cstheme="minorHAnsi"/>
          <w:b/>
          <w:bCs/>
          <w:lang w:val="en-GB"/>
        </w:rPr>
        <w:t>A</w:t>
      </w:r>
    </w:p>
    <w:p w14:paraId="3613C0C1" w14:textId="77777777" w:rsidR="00BD0558" w:rsidRPr="009060C9" w:rsidRDefault="00BD0558" w:rsidP="00B77BFD">
      <w:pPr>
        <w:pStyle w:val="ListParagraph"/>
        <w:tabs>
          <w:tab w:val="left" w:pos="1418"/>
        </w:tabs>
        <w:spacing w:after="100"/>
        <w:ind w:left="1418" w:hanging="338"/>
        <w:rPr>
          <w:rFonts w:asciiTheme="minorHAnsi" w:eastAsia="Times New Roman" w:hAnsiTheme="minorHAnsi" w:cstheme="minorHAnsi"/>
          <w:lang w:val="en-GB"/>
        </w:rPr>
      </w:pPr>
    </w:p>
    <w:p w14:paraId="11EECCBB" w14:textId="5421483C" w:rsidR="00B77BFD" w:rsidRPr="009060C9" w:rsidRDefault="00B77BFD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Treatment of </w:t>
      </w:r>
      <w:r w:rsidR="00244594">
        <w:rPr>
          <w:rFonts w:asciiTheme="minorHAnsi" w:eastAsia="Times New Roman" w:hAnsiTheme="minorHAnsi" w:cstheme="minorHAnsi"/>
          <w:szCs w:val="22"/>
          <w:lang w:val="en-GB"/>
        </w:rPr>
        <w:t xml:space="preserve">blister </w:t>
      </w: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agent victims is based on? </w:t>
      </w:r>
    </w:p>
    <w:p w14:paraId="0B3BCBF0" w14:textId="3F24C4A0" w:rsidR="001B6859" w:rsidRPr="001B6859" w:rsidRDefault="001B6859" w:rsidP="001B6859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 w:rsidR="00244594">
        <w:rPr>
          <w:rFonts w:asciiTheme="minorHAnsi" w:eastAsia="Calibri" w:hAnsiTheme="minorHAnsi" w:cstheme="minorHAnsi"/>
          <w:b/>
          <w:bCs/>
          <w:lang w:val="en-GB"/>
        </w:rPr>
        <w:t>B</w:t>
      </w:r>
    </w:p>
    <w:p w14:paraId="12B305FD" w14:textId="7B9E7491" w:rsidR="00B77BFD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6E3A6B0E" w14:textId="77777777" w:rsidR="00244594" w:rsidRPr="009060C9" w:rsidRDefault="00244594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7526E4FF" w14:textId="1BDD0AA7" w:rsidR="00B77BFD" w:rsidRPr="009060C9" w:rsidRDefault="00B77BFD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Cytokines are used in treatment of which CBRN agent victims? </w:t>
      </w:r>
    </w:p>
    <w:p w14:paraId="2CABBD49" w14:textId="59D315ED" w:rsidR="00244594" w:rsidRPr="001B6859" w:rsidRDefault="00244594" w:rsidP="00244594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C</w:t>
      </w:r>
    </w:p>
    <w:p w14:paraId="63C739A1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6CFAB52B" w14:textId="1990B80A" w:rsidR="00B77BFD" w:rsidRPr="009060C9" w:rsidRDefault="00244594" w:rsidP="00B77BFD">
      <w:pPr>
        <w:pStyle w:val="PlainText"/>
        <w:numPr>
          <w:ilvl w:val="0"/>
          <w:numId w:val="3"/>
        </w:numPr>
        <w:spacing w:after="100"/>
        <w:rPr>
          <w:rFonts w:asciiTheme="minorHAnsi" w:eastAsia="Times New Roman" w:hAnsiTheme="minorHAnsi" w:cstheme="minorHAnsi"/>
          <w:szCs w:val="22"/>
          <w:lang w:val="en-GB"/>
        </w:rPr>
      </w:pPr>
      <w:r>
        <w:rPr>
          <w:rFonts w:asciiTheme="minorHAnsi" w:eastAsia="Times New Roman" w:hAnsiTheme="minorHAnsi" w:cstheme="minorHAnsi"/>
          <w:szCs w:val="22"/>
          <w:lang w:val="en-GB"/>
        </w:rPr>
        <w:t>Rapid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 treatment </w:t>
      </w:r>
      <w:r>
        <w:rPr>
          <w:rFonts w:asciiTheme="minorHAnsi" w:eastAsia="Times New Roman" w:hAnsiTheme="minorHAnsi" w:cstheme="minorHAnsi"/>
          <w:szCs w:val="22"/>
          <w:lang w:val="en-GB"/>
        </w:rPr>
        <w:t xml:space="preserve">with oxygen is important for </w:t>
      </w:r>
      <w:r w:rsidR="00B77BFD" w:rsidRPr="009060C9">
        <w:rPr>
          <w:rFonts w:asciiTheme="minorHAnsi" w:eastAsia="Times New Roman" w:hAnsiTheme="minorHAnsi" w:cstheme="minorHAnsi"/>
          <w:szCs w:val="22"/>
          <w:lang w:val="en-GB"/>
        </w:rPr>
        <w:t xml:space="preserve">which chemical agents? </w:t>
      </w:r>
    </w:p>
    <w:p w14:paraId="33A199C8" w14:textId="3DE4FB9A" w:rsidR="00244594" w:rsidRPr="001B6859" w:rsidRDefault="00244594" w:rsidP="00244594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C</w:t>
      </w:r>
    </w:p>
    <w:p w14:paraId="68725878" w14:textId="77777777" w:rsidR="00B77BFD" w:rsidRPr="009060C9" w:rsidRDefault="00B77BFD" w:rsidP="00B77BFD">
      <w:pPr>
        <w:pStyle w:val="PlainText"/>
        <w:ind w:left="1077"/>
        <w:rPr>
          <w:rFonts w:asciiTheme="minorHAnsi" w:eastAsia="Times New Roman" w:hAnsiTheme="minorHAnsi" w:cstheme="minorHAnsi"/>
          <w:szCs w:val="22"/>
          <w:lang w:val="en-GB"/>
        </w:rPr>
      </w:pPr>
    </w:p>
    <w:p w14:paraId="05B8F380" w14:textId="77777777" w:rsidR="00B77BFD" w:rsidRPr="009060C9" w:rsidRDefault="00B77BFD" w:rsidP="00B77BFD">
      <w:pPr>
        <w:pStyle w:val="ListParagraph"/>
        <w:numPr>
          <w:ilvl w:val="0"/>
          <w:numId w:val="3"/>
        </w:numPr>
        <w:spacing w:before="60" w:after="60" w:line="240" w:lineRule="auto"/>
        <w:jc w:val="both"/>
        <w:rPr>
          <w:rFonts w:asciiTheme="minorHAnsi" w:eastAsia="Times New Roman" w:hAnsiTheme="minorHAnsi" w:cstheme="minorHAnsi"/>
          <w:lang w:val="en-GB"/>
        </w:rPr>
      </w:pPr>
      <w:r w:rsidRPr="009060C9">
        <w:rPr>
          <w:rFonts w:asciiTheme="minorHAnsi" w:eastAsia="Times New Roman" w:hAnsiTheme="minorHAnsi" w:cstheme="minorHAnsi"/>
          <w:lang w:val="en-GB"/>
        </w:rPr>
        <w:t>Antitoxin is used in treatment of which biological agents?</w:t>
      </w:r>
    </w:p>
    <w:p w14:paraId="6F73EECD" w14:textId="6D2456B1" w:rsidR="00244594" w:rsidRPr="001B6859" w:rsidRDefault="00244594" w:rsidP="00244594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 w:rsidR="007F5B1B">
        <w:rPr>
          <w:rFonts w:asciiTheme="minorHAnsi" w:eastAsia="Calibri" w:hAnsiTheme="minorHAnsi" w:cstheme="minorHAnsi"/>
          <w:b/>
          <w:bCs/>
          <w:lang w:val="en-GB"/>
        </w:rPr>
        <w:t>B</w:t>
      </w:r>
    </w:p>
    <w:p w14:paraId="147BE103" w14:textId="77777777" w:rsidR="00244594" w:rsidRPr="009060C9" w:rsidRDefault="00244594" w:rsidP="002445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DA1968D" w14:textId="113410A8" w:rsidR="00B77BFD" w:rsidRPr="007F5B1B" w:rsidRDefault="00B77BFD" w:rsidP="007F5B1B">
      <w:pPr>
        <w:pStyle w:val="ListParagraph"/>
        <w:numPr>
          <w:ilvl w:val="0"/>
          <w:numId w:val="3"/>
        </w:numPr>
        <w:spacing w:before="60" w:after="60"/>
        <w:jc w:val="both"/>
        <w:rPr>
          <w:rFonts w:asciiTheme="minorHAnsi" w:hAnsiTheme="minorHAnsi" w:cstheme="minorHAnsi"/>
          <w:lang w:val="en-GB"/>
        </w:rPr>
      </w:pPr>
      <w:r w:rsidRPr="007F5B1B">
        <w:rPr>
          <w:rFonts w:asciiTheme="minorHAnsi" w:hAnsiTheme="minorHAnsi" w:cstheme="minorHAnsi"/>
          <w:lang w:val="en-GB"/>
        </w:rPr>
        <w:t xml:space="preserve">The acronym ARS in radiology stands for? </w:t>
      </w:r>
    </w:p>
    <w:p w14:paraId="382ADFCB" w14:textId="46DE438F" w:rsidR="00C8158D" w:rsidRPr="007F5B1B" w:rsidRDefault="007F5B1B" w:rsidP="007F5B1B">
      <w:pPr>
        <w:ind w:left="360"/>
        <w:rPr>
          <w:rFonts w:asciiTheme="minorHAnsi" w:eastAsia="Calibri" w:hAnsiTheme="minorHAnsi" w:cstheme="minorHAnsi"/>
          <w:b/>
          <w:bCs/>
          <w:lang w:val="en-GB"/>
        </w:rPr>
      </w:pPr>
      <w:r w:rsidRPr="009060C9">
        <w:rPr>
          <w:rFonts w:asciiTheme="minorHAnsi" w:eastAsia="Calibri" w:hAnsiTheme="minorHAnsi" w:cstheme="minorHAnsi"/>
          <w:b/>
          <w:color w:val="FF0000"/>
          <w:highlight w:val="yellow"/>
          <w:lang w:val="en-GB"/>
        </w:rPr>
        <w:t>[Answer]</w:t>
      </w:r>
      <w:r>
        <w:rPr>
          <w:rFonts w:asciiTheme="minorHAnsi" w:eastAsia="Calibri" w:hAnsiTheme="minorHAnsi" w:cstheme="minorHAnsi"/>
          <w:color w:val="FF0000"/>
          <w:lang w:val="en-GB"/>
        </w:rPr>
        <w:t xml:space="preserve">: </w:t>
      </w:r>
      <w:r>
        <w:rPr>
          <w:rFonts w:asciiTheme="minorHAnsi" w:eastAsia="Calibri" w:hAnsiTheme="minorHAnsi" w:cstheme="minorHAnsi"/>
          <w:b/>
          <w:bCs/>
          <w:lang w:val="en-GB"/>
        </w:rPr>
        <w:t>B</w:t>
      </w:r>
    </w:p>
    <w:sectPr w:rsidR="00C8158D" w:rsidRPr="007F5B1B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55B6" w14:textId="77777777" w:rsidR="00EC1732" w:rsidRDefault="00EC1732">
      <w:r>
        <w:separator/>
      </w:r>
    </w:p>
  </w:endnote>
  <w:endnote w:type="continuationSeparator" w:id="0">
    <w:p w14:paraId="6DD72629" w14:textId="77777777" w:rsidR="00EC1732" w:rsidRDefault="00EC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949543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2815ADD" w14:textId="065AB00E" w:rsidR="000027B9" w:rsidRPr="000027B9" w:rsidRDefault="000027B9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0027B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027B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027B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0027B9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0027B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3E3F6E90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B13C1" w14:textId="77777777" w:rsidR="00EC1732" w:rsidRDefault="00EC1732">
      <w:r>
        <w:separator/>
      </w:r>
    </w:p>
  </w:footnote>
  <w:footnote w:type="continuationSeparator" w:id="0">
    <w:p w14:paraId="39A7EFD8" w14:textId="77777777" w:rsidR="00EC1732" w:rsidRDefault="00EC1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8C03" w14:textId="77777777" w:rsidR="000027B9" w:rsidRPr="002B10DD" w:rsidRDefault="000027B9" w:rsidP="000027B9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  <w:p w14:paraId="101CB96D" w14:textId="7E90A2AC" w:rsidR="00005CE1" w:rsidRPr="000027B9" w:rsidRDefault="00005CE1" w:rsidP="000027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93916"/>
    <w:multiLevelType w:val="hybridMultilevel"/>
    <w:tmpl w:val="ED348832"/>
    <w:lvl w:ilvl="0" w:tplc="721037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0952A72"/>
    <w:multiLevelType w:val="hybridMultilevel"/>
    <w:tmpl w:val="49164D18"/>
    <w:lvl w:ilvl="0" w:tplc="E6BEC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8436E">
      <w:start w:val="1067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2675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69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4F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08F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46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40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E80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AD1E2E"/>
    <w:multiLevelType w:val="hybridMultilevel"/>
    <w:tmpl w:val="52EC8A9C"/>
    <w:lvl w:ilvl="0" w:tplc="E07225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176E"/>
    <w:multiLevelType w:val="hybridMultilevel"/>
    <w:tmpl w:val="38AA57CA"/>
    <w:lvl w:ilvl="0" w:tplc="B0DA4DB8">
      <w:start w:val="2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27C4B"/>
    <w:multiLevelType w:val="hybridMultilevel"/>
    <w:tmpl w:val="31E4657C"/>
    <w:lvl w:ilvl="0" w:tplc="C9C08102">
      <w:start w:val="1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49F45B2F"/>
    <w:multiLevelType w:val="hybridMultilevel"/>
    <w:tmpl w:val="D73A5B1A"/>
    <w:lvl w:ilvl="0" w:tplc="DF9E41B8">
      <w:start w:val="19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AE60BE"/>
    <w:multiLevelType w:val="hybridMultilevel"/>
    <w:tmpl w:val="DBE8CFEC"/>
    <w:lvl w:ilvl="0" w:tplc="A8E86FF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D3A542A"/>
    <w:multiLevelType w:val="hybridMultilevel"/>
    <w:tmpl w:val="16168ADA"/>
    <w:lvl w:ilvl="0" w:tplc="FF8AD822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EB449A"/>
    <w:multiLevelType w:val="hybridMultilevel"/>
    <w:tmpl w:val="5532EF86"/>
    <w:lvl w:ilvl="0" w:tplc="49349D26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52BEA"/>
    <w:multiLevelType w:val="hybridMultilevel"/>
    <w:tmpl w:val="ACFCDDEC"/>
    <w:lvl w:ilvl="0" w:tplc="67BE5A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56F2415"/>
    <w:multiLevelType w:val="hybridMultilevel"/>
    <w:tmpl w:val="6340E4B8"/>
    <w:lvl w:ilvl="0" w:tplc="FFA6258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9D725CF"/>
    <w:multiLevelType w:val="hybridMultilevel"/>
    <w:tmpl w:val="F9B4F070"/>
    <w:lvl w:ilvl="0" w:tplc="CB40CD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 w:numId="1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27B9"/>
    <w:rsid w:val="00004E97"/>
    <w:rsid w:val="000053E8"/>
    <w:rsid w:val="00005CE1"/>
    <w:rsid w:val="0001305B"/>
    <w:rsid w:val="000165A8"/>
    <w:rsid w:val="000213F8"/>
    <w:rsid w:val="00031AD2"/>
    <w:rsid w:val="00032328"/>
    <w:rsid w:val="00032506"/>
    <w:rsid w:val="00040C43"/>
    <w:rsid w:val="0005012B"/>
    <w:rsid w:val="00054969"/>
    <w:rsid w:val="00060409"/>
    <w:rsid w:val="00060FE3"/>
    <w:rsid w:val="00063975"/>
    <w:rsid w:val="000645B2"/>
    <w:rsid w:val="00065944"/>
    <w:rsid w:val="000709C2"/>
    <w:rsid w:val="000754BA"/>
    <w:rsid w:val="00075E01"/>
    <w:rsid w:val="00083B3A"/>
    <w:rsid w:val="000A788C"/>
    <w:rsid w:val="000B2C04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17E7B"/>
    <w:rsid w:val="001500F6"/>
    <w:rsid w:val="001611C5"/>
    <w:rsid w:val="0016634C"/>
    <w:rsid w:val="00170D75"/>
    <w:rsid w:val="00173D09"/>
    <w:rsid w:val="00183E85"/>
    <w:rsid w:val="001855CD"/>
    <w:rsid w:val="00185A61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B6859"/>
    <w:rsid w:val="001C18E6"/>
    <w:rsid w:val="001C5119"/>
    <w:rsid w:val="001D0C0B"/>
    <w:rsid w:val="001D178B"/>
    <w:rsid w:val="001D2BB8"/>
    <w:rsid w:val="001D5EF8"/>
    <w:rsid w:val="001E4900"/>
    <w:rsid w:val="001F07A8"/>
    <w:rsid w:val="001F78AB"/>
    <w:rsid w:val="0020245B"/>
    <w:rsid w:val="00202D13"/>
    <w:rsid w:val="00207EF5"/>
    <w:rsid w:val="00213E96"/>
    <w:rsid w:val="002202A6"/>
    <w:rsid w:val="002216E6"/>
    <w:rsid w:val="002301F0"/>
    <w:rsid w:val="00244594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085"/>
    <w:rsid w:val="00305DBE"/>
    <w:rsid w:val="00306CC1"/>
    <w:rsid w:val="00314340"/>
    <w:rsid w:val="003159DA"/>
    <w:rsid w:val="003301FB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C58E4"/>
    <w:rsid w:val="003C773F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97325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4217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2BB6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257F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204BB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27E2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19A5"/>
    <w:rsid w:val="006E53EC"/>
    <w:rsid w:val="0071354D"/>
    <w:rsid w:val="00715AA6"/>
    <w:rsid w:val="007217EB"/>
    <w:rsid w:val="00722D09"/>
    <w:rsid w:val="00723045"/>
    <w:rsid w:val="007258E4"/>
    <w:rsid w:val="00736166"/>
    <w:rsid w:val="0074656A"/>
    <w:rsid w:val="007479E6"/>
    <w:rsid w:val="00757C60"/>
    <w:rsid w:val="00764265"/>
    <w:rsid w:val="007769EF"/>
    <w:rsid w:val="0077776A"/>
    <w:rsid w:val="00782A2A"/>
    <w:rsid w:val="0078348E"/>
    <w:rsid w:val="00791880"/>
    <w:rsid w:val="007A0876"/>
    <w:rsid w:val="007B20D3"/>
    <w:rsid w:val="007B52F8"/>
    <w:rsid w:val="007B663F"/>
    <w:rsid w:val="007C1E1B"/>
    <w:rsid w:val="007C66A9"/>
    <w:rsid w:val="007C7C8D"/>
    <w:rsid w:val="007D02E4"/>
    <w:rsid w:val="007D5D03"/>
    <w:rsid w:val="007E5843"/>
    <w:rsid w:val="007F2A45"/>
    <w:rsid w:val="007F3520"/>
    <w:rsid w:val="007F5B1B"/>
    <w:rsid w:val="007F6F24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2504"/>
    <w:rsid w:val="00883A03"/>
    <w:rsid w:val="008864DB"/>
    <w:rsid w:val="00896B5E"/>
    <w:rsid w:val="008A5226"/>
    <w:rsid w:val="008B1004"/>
    <w:rsid w:val="008B279B"/>
    <w:rsid w:val="008B4667"/>
    <w:rsid w:val="008C189E"/>
    <w:rsid w:val="008C1F0F"/>
    <w:rsid w:val="008D145A"/>
    <w:rsid w:val="008E7FA9"/>
    <w:rsid w:val="008F57B1"/>
    <w:rsid w:val="0090018F"/>
    <w:rsid w:val="00902D2E"/>
    <w:rsid w:val="00904CD3"/>
    <w:rsid w:val="00905DC1"/>
    <w:rsid w:val="009060C9"/>
    <w:rsid w:val="0092056F"/>
    <w:rsid w:val="00930CE6"/>
    <w:rsid w:val="009353B1"/>
    <w:rsid w:val="00935F98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73213"/>
    <w:rsid w:val="00A8039D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57E24"/>
    <w:rsid w:val="00B625E7"/>
    <w:rsid w:val="00B62680"/>
    <w:rsid w:val="00B656A0"/>
    <w:rsid w:val="00B70B20"/>
    <w:rsid w:val="00B71225"/>
    <w:rsid w:val="00B73592"/>
    <w:rsid w:val="00B77BFD"/>
    <w:rsid w:val="00B9354F"/>
    <w:rsid w:val="00B950D9"/>
    <w:rsid w:val="00B96434"/>
    <w:rsid w:val="00BA1785"/>
    <w:rsid w:val="00BA5C43"/>
    <w:rsid w:val="00BA7CA0"/>
    <w:rsid w:val="00BB3C2B"/>
    <w:rsid w:val="00BB5B8D"/>
    <w:rsid w:val="00BD0558"/>
    <w:rsid w:val="00BD0789"/>
    <w:rsid w:val="00BD22B5"/>
    <w:rsid w:val="00BE44F2"/>
    <w:rsid w:val="00BE709A"/>
    <w:rsid w:val="00BF2417"/>
    <w:rsid w:val="00C02218"/>
    <w:rsid w:val="00C06EF5"/>
    <w:rsid w:val="00C071A0"/>
    <w:rsid w:val="00C074B1"/>
    <w:rsid w:val="00C20455"/>
    <w:rsid w:val="00C20990"/>
    <w:rsid w:val="00C31C44"/>
    <w:rsid w:val="00C3315D"/>
    <w:rsid w:val="00C3561E"/>
    <w:rsid w:val="00C363D7"/>
    <w:rsid w:val="00C4683D"/>
    <w:rsid w:val="00C54625"/>
    <w:rsid w:val="00C66048"/>
    <w:rsid w:val="00C72307"/>
    <w:rsid w:val="00C73529"/>
    <w:rsid w:val="00C8158D"/>
    <w:rsid w:val="00C81B3A"/>
    <w:rsid w:val="00C83D65"/>
    <w:rsid w:val="00CB240D"/>
    <w:rsid w:val="00CB667D"/>
    <w:rsid w:val="00CC31B2"/>
    <w:rsid w:val="00CD0E05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E3E5F"/>
    <w:rsid w:val="00DF0E40"/>
    <w:rsid w:val="00E143C1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732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05658"/>
    <w:rsid w:val="00F12834"/>
    <w:rsid w:val="00F27D29"/>
    <w:rsid w:val="00F34E58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0165A8"/>
    <w:pPr>
      <w:spacing w:before="100" w:beforeAutospacing="1" w:after="100" w:afterAutospacing="1"/>
    </w:pPr>
    <w:rPr>
      <w:lang w:val="nl-NL" w:eastAsia="nl-NL"/>
    </w:rPr>
  </w:style>
  <w:style w:type="paragraph" w:customStyle="1" w:styleId="identification">
    <w:name w:val="identification"/>
    <w:basedOn w:val="Normal"/>
    <w:rsid w:val="00B77BFD"/>
    <w:pPr>
      <w:framePr w:hSpace="180" w:vSpace="180" w:wrap="auto" w:vAnchor="page" w:hAnchor="text" w:yAlign="bottom"/>
      <w:tabs>
        <w:tab w:val="left" w:pos="3400"/>
        <w:tab w:val="left" w:pos="5660"/>
        <w:tab w:val="left" w:pos="6800"/>
      </w:tabs>
      <w:spacing w:before="40" w:after="40"/>
      <w:ind w:left="2260" w:hanging="2240"/>
    </w:pPr>
    <w:rPr>
      <w:rFonts w:ascii="Arial" w:hAnsi="Arial"/>
      <w:sz w:val="18"/>
      <w:szCs w:val="20"/>
      <w:lang w:val="en-GB" w:eastAsia="fr-FR"/>
    </w:rPr>
  </w:style>
  <w:style w:type="paragraph" w:styleId="Revision">
    <w:name w:val="Revision"/>
    <w:hidden/>
    <w:uiPriority w:val="99"/>
    <w:semiHidden/>
    <w:rsid w:val="008825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0027B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027B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128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92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20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34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22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580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794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81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322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946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0297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5705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43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626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07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884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347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849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5061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540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425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807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1823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17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148B39-6E8B-4A5B-B40C-58EB8AD8FF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2782</Characters>
  <Application>Microsoft Office Word</Application>
  <DocSecurity>0</DocSecurity>
  <Lines>214</Lines>
  <Paragraphs>155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2020_Evaluation_1_CBRN</vt:lpstr>
      <vt:lpstr>2020_Evaluation_1_CBRN</vt:lpstr>
      <vt:lpstr>2020_Evaluation_1_CBRN</vt:lpstr>
    </vt:vector>
  </TitlesOfParts>
  <Company>SCK-CEN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3</cp:revision>
  <cp:lastPrinted>2018-04-20T13:46:00Z</cp:lastPrinted>
  <dcterms:created xsi:type="dcterms:W3CDTF">2022-10-31T16:31:00Z</dcterms:created>
  <dcterms:modified xsi:type="dcterms:W3CDTF">2022-11-18T17:24:00Z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